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C1" w14:textId="3FA20C8D" w:rsidR="00A9067F" w:rsidRPr="00582DA2" w:rsidRDefault="00A9067F" w:rsidP="00B93415">
      <w:pPr>
        <w:autoSpaceDE w:val="0"/>
        <w:autoSpaceDN w:val="0"/>
        <w:adjustRightInd w:val="0"/>
        <w:spacing w:after="0" w:line="240" w:lineRule="auto"/>
        <w:jc w:val="center"/>
        <w:rPr>
          <w:rFonts w:cstheme="minorHAnsi"/>
          <w:b/>
          <w:bCs/>
          <w:color w:val="000000"/>
          <w:sz w:val="26"/>
          <w:szCs w:val="26"/>
        </w:rPr>
      </w:pPr>
      <w:r>
        <w:rPr>
          <w:rFonts w:cstheme="minorHAnsi"/>
          <w:b/>
          <w:bCs/>
          <w:color w:val="000000"/>
          <w:sz w:val="26"/>
          <w:szCs w:val="26"/>
        </w:rPr>
        <w:t>2025 Minor</w:t>
      </w:r>
      <w:r w:rsidRPr="00582DA2">
        <w:rPr>
          <w:rFonts w:cstheme="minorHAnsi"/>
          <w:b/>
          <w:bCs/>
          <w:color w:val="000000"/>
          <w:sz w:val="26"/>
          <w:szCs w:val="26"/>
        </w:rPr>
        <w:t xml:space="preserve"> Review of Australian Standard </w:t>
      </w:r>
      <w:r>
        <w:rPr>
          <w:rFonts w:cstheme="minorHAnsi"/>
          <w:b/>
          <w:bCs/>
          <w:color w:val="000000"/>
          <w:sz w:val="26"/>
          <w:szCs w:val="26"/>
        </w:rPr>
        <w:t xml:space="preserve">Classification of Cultural and Ethnic Groups </w:t>
      </w:r>
      <w:r w:rsidRPr="00582DA2">
        <w:rPr>
          <w:rFonts w:cstheme="minorHAnsi"/>
          <w:b/>
          <w:bCs/>
          <w:color w:val="000000"/>
          <w:sz w:val="26"/>
          <w:szCs w:val="26"/>
        </w:rPr>
        <w:t>(AS</w:t>
      </w:r>
      <w:r>
        <w:rPr>
          <w:rFonts w:cstheme="minorHAnsi"/>
          <w:b/>
          <w:bCs/>
          <w:color w:val="000000"/>
          <w:sz w:val="26"/>
          <w:szCs w:val="26"/>
        </w:rPr>
        <w:t>CCEG</w:t>
      </w:r>
      <w:r w:rsidRPr="00582DA2">
        <w:rPr>
          <w:rFonts w:cstheme="minorHAnsi"/>
          <w:b/>
          <w:bCs/>
          <w:color w:val="000000"/>
          <w:sz w:val="26"/>
          <w:szCs w:val="26"/>
        </w:rPr>
        <w:t>)</w:t>
      </w:r>
    </w:p>
    <w:p w14:paraId="45D069A7" w14:textId="77777777" w:rsidR="00A9067F" w:rsidRDefault="00A9067F" w:rsidP="00A9067F">
      <w:pPr>
        <w:autoSpaceDE w:val="0"/>
        <w:autoSpaceDN w:val="0"/>
        <w:adjustRightInd w:val="0"/>
        <w:spacing w:after="0" w:line="240" w:lineRule="auto"/>
        <w:jc w:val="center"/>
        <w:rPr>
          <w:rFonts w:cstheme="minorHAnsi"/>
          <w:b/>
          <w:bCs/>
          <w:color w:val="000000"/>
          <w:sz w:val="28"/>
          <w:szCs w:val="28"/>
        </w:rPr>
      </w:pPr>
    </w:p>
    <w:p w14:paraId="677208F4" w14:textId="77777777" w:rsidR="00A9067F" w:rsidRPr="00582DA2" w:rsidRDefault="00A9067F" w:rsidP="00A9067F">
      <w:pPr>
        <w:autoSpaceDE w:val="0"/>
        <w:autoSpaceDN w:val="0"/>
        <w:adjustRightInd w:val="0"/>
        <w:spacing w:after="0" w:line="240" w:lineRule="auto"/>
        <w:jc w:val="center"/>
        <w:rPr>
          <w:rFonts w:cstheme="minorHAnsi"/>
          <w:b/>
          <w:bCs/>
          <w:color w:val="000000"/>
          <w:sz w:val="26"/>
          <w:szCs w:val="26"/>
        </w:rPr>
      </w:pPr>
      <w:r w:rsidRPr="00582DA2">
        <w:rPr>
          <w:rFonts w:cstheme="minorHAnsi"/>
          <w:b/>
          <w:bCs/>
          <w:color w:val="000000"/>
          <w:sz w:val="26"/>
          <w:szCs w:val="26"/>
        </w:rPr>
        <w:t>FAQs</w:t>
      </w:r>
    </w:p>
    <w:p w14:paraId="1CCE57F4" w14:textId="77777777" w:rsidR="00A9067F" w:rsidRDefault="00A9067F" w:rsidP="00A9067F">
      <w:pPr>
        <w:autoSpaceDE w:val="0"/>
        <w:autoSpaceDN w:val="0"/>
        <w:adjustRightInd w:val="0"/>
        <w:spacing w:after="0" w:line="240" w:lineRule="auto"/>
        <w:jc w:val="right"/>
        <w:rPr>
          <w:rFonts w:cstheme="minorHAnsi"/>
          <w:b/>
          <w:bCs/>
          <w:color w:val="000000"/>
        </w:rPr>
      </w:pPr>
    </w:p>
    <w:p w14:paraId="3310E0EA" w14:textId="786B982B" w:rsidR="00A9067F" w:rsidRPr="007F1BDC" w:rsidRDefault="00A9067F" w:rsidP="00A9067F">
      <w:pPr>
        <w:autoSpaceDE w:val="0"/>
        <w:autoSpaceDN w:val="0"/>
        <w:adjustRightInd w:val="0"/>
        <w:spacing w:after="0" w:line="240" w:lineRule="auto"/>
        <w:rPr>
          <w:rFonts w:cstheme="minorHAnsi"/>
          <w:b/>
          <w:bCs/>
          <w:color w:val="000000"/>
        </w:rPr>
      </w:pPr>
      <w:r w:rsidRPr="007F1BDC">
        <w:rPr>
          <w:rFonts w:cstheme="minorHAnsi"/>
          <w:b/>
          <w:bCs/>
          <w:color w:val="000000"/>
        </w:rPr>
        <w:t xml:space="preserve">What is </w:t>
      </w:r>
      <w:r>
        <w:rPr>
          <w:rFonts w:cstheme="minorHAnsi"/>
          <w:b/>
          <w:bCs/>
          <w:color w:val="000000"/>
        </w:rPr>
        <w:t xml:space="preserve">the </w:t>
      </w:r>
      <w:r w:rsidRPr="007F1BDC">
        <w:rPr>
          <w:rFonts w:cstheme="minorHAnsi"/>
          <w:b/>
          <w:bCs/>
          <w:color w:val="000000"/>
        </w:rPr>
        <w:t>ASC</w:t>
      </w:r>
      <w:r w:rsidR="00226D26">
        <w:rPr>
          <w:rFonts w:cstheme="minorHAnsi"/>
          <w:b/>
          <w:bCs/>
          <w:color w:val="000000"/>
        </w:rPr>
        <w:t>CEG</w:t>
      </w:r>
      <w:r w:rsidRPr="007F1BDC">
        <w:rPr>
          <w:rFonts w:cstheme="minorHAnsi"/>
          <w:b/>
          <w:bCs/>
          <w:color w:val="000000"/>
        </w:rPr>
        <w:t>?</w:t>
      </w:r>
    </w:p>
    <w:p w14:paraId="19698718" w14:textId="09C1EAE7" w:rsidR="00B55791" w:rsidRDefault="00A9067F" w:rsidP="00A9067F">
      <w:pPr>
        <w:rPr>
          <w:rFonts w:ascii="Calibri" w:hAnsi="Calibri" w:cs="Calibri"/>
        </w:rPr>
      </w:pPr>
      <w:r w:rsidRPr="00B4333E">
        <w:rPr>
          <w:rFonts w:ascii="Calibri" w:hAnsi="Calibri" w:cs="Calibri"/>
        </w:rPr>
        <w:t>Th</w:t>
      </w:r>
      <w:r w:rsidR="000A4195">
        <w:rPr>
          <w:rFonts w:ascii="Calibri" w:hAnsi="Calibri" w:cs="Calibri"/>
        </w:rPr>
        <w:t>e Australian Standard Classification of Cultural and Ethnic Groups (</w:t>
      </w:r>
      <w:hyperlink r:id="rId6" w:history="1">
        <w:r w:rsidR="000A4195" w:rsidRPr="00DF08F8">
          <w:rPr>
            <w:rStyle w:val="Hyperlink"/>
            <w:rFonts w:ascii="Calibri" w:hAnsi="Calibri" w:cs="Calibri"/>
          </w:rPr>
          <w:t>ASCCEG</w:t>
        </w:r>
      </w:hyperlink>
      <w:r w:rsidR="000A4195">
        <w:rPr>
          <w:rFonts w:ascii="Calibri" w:hAnsi="Calibri" w:cs="Calibri"/>
        </w:rPr>
        <w:t xml:space="preserve">) is the statistical standard for classifying data relating to the cultural and ethnic composition of the Australian population. </w:t>
      </w:r>
      <w:r w:rsidR="00854586">
        <w:rPr>
          <w:rFonts w:ascii="Calibri" w:hAnsi="Calibri" w:cs="Calibri"/>
        </w:rPr>
        <w:t xml:space="preserve">The scope of the classification includes all cultural and ethnic groups in the world; in practice, only those groups that have a significant number of persons </w:t>
      </w:r>
      <w:r w:rsidR="00AB2D5B">
        <w:rPr>
          <w:rFonts w:ascii="Calibri" w:hAnsi="Calibri" w:cs="Calibri"/>
        </w:rPr>
        <w:t xml:space="preserve">resident </w:t>
      </w:r>
      <w:r w:rsidR="00854586">
        <w:rPr>
          <w:rFonts w:ascii="Calibri" w:hAnsi="Calibri" w:cs="Calibri"/>
        </w:rPr>
        <w:t>in Australia a</w:t>
      </w:r>
      <w:r w:rsidR="00B8116B">
        <w:rPr>
          <w:rFonts w:ascii="Calibri" w:hAnsi="Calibri" w:cs="Calibri"/>
        </w:rPr>
        <w:t>re</w:t>
      </w:r>
      <w:r w:rsidR="00854586">
        <w:rPr>
          <w:rFonts w:ascii="Calibri" w:hAnsi="Calibri" w:cs="Calibri"/>
        </w:rPr>
        <w:t xml:space="preserve"> se</w:t>
      </w:r>
      <w:r w:rsidR="00434B8E">
        <w:rPr>
          <w:rFonts w:ascii="Calibri" w:hAnsi="Calibri" w:cs="Calibri"/>
        </w:rPr>
        <w:t>parately identified.</w:t>
      </w:r>
      <w:r w:rsidR="00AB2D5B">
        <w:rPr>
          <w:rFonts w:ascii="Calibri" w:hAnsi="Calibri" w:cs="Calibri"/>
        </w:rPr>
        <w:t xml:space="preserve"> Those groups not separately identified are included in the most appropriate ‘not elsewhere classified’ (nec) category of the classification.</w:t>
      </w:r>
    </w:p>
    <w:p w14:paraId="2023963A" w14:textId="3C69D454" w:rsidR="00FF7749" w:rsidRDefault="00FF7749" w:rsidP="00A9067F">
      <w:pPr>
        <w:rPr>
          <w:rFonts w:ascii="Calibri" w:hAnsi="Calibri" w:cs="Calibri"/>
          <w:i/>
          <w:iCs/>
        </w:rPr>
      </w:pPr>
      <w:r w:rsidRPr="00755FC2">
        <w:rPr>
          <w:rFonts w:ascii="Calibri" w:hAnsi="Calibri" w:cs="Calibri"/>
          <w:i/>
          <w:iCs/>
        </w:rPr>
        <w:t xml:space="preserve">The identification of cultural and ethnic groups in the classification, and the way in which they are grouped, does not imply the expression of any opinion on the part of the ABS regarding the recognition of any group by governments, organisations or individuals, or the status accorded them. Nor does it imply the expression of any opinion concerning the relative merit or importance of </w:t>
      </w:r>
      <w:proofErr w:type="gramStart"/>
      <w:r w:rsidRPr="00755FC2">
        <w:rPr>
          <w:rFonts w:ascii="Calibri" w:hAnsi="Calibri" w:cs="Calibri"/>
          <w:i/>
          <w:iCs/>
        </w:rPr>
        <w:t>particular cultural</w:t>
      </w:r>
      <w:proofErr w:type="gramEnd"/>
      <w:r w:rsidRPr="00755FC2">
        <w:rPr>
          <w:rFonts w:ascii="Calibri" w:hAnsi="Calibri" w:cs="Calibri"/>
          <w:i/>
          <w:iCs/>
        </w:rPr>
        <w:t xml:space="preserve"> and ethnic groups or the people who belong to them.</w:t>
      </w:r>
    </w:p>
    <w:p w14:paraId="6F342F75" w14:textId="71862014" w:rsidR="005031F4" w:rsidRPr="00796470" w:rsidRDefault="000C79D2" w:rsidP="00796470">
      <w:pPr>
        <w:rPr>
          <w:rFonts w:ascii="Calibri" w:hAnsi="Calibri" w:cs="Calibri"/>
        </w:rPr>
      </w:pPr>
      <w:r>
        <w:rPr>
          <w:rFonts w:cstheme="minorHAnsi"/>
          <w:color w:val="000000"/>
        </w:rPr>
        <w:t xml:space="preserve">In the ABS, the ASCCEG is used to collect, aggregate and disseminate data from the question on </w:t>
      </w:r>
      <w:r w:rsidR="004A7E38">
        <w:rPr>
          <w:rFonts w:cstheme="minorHAnsi"/>
          <w:color w:val="000000"/>
        </w:rPr>
        <w:t xml:space="preserve">Ancestry </w:t>
      </w:r>
      <w:r>
        <w:rPr>
          <w:rFonts w:cstheme="minorHAnsi"/>
          <w:color w:val="000000"/>
        </w:rPr>
        <w:t xml:space="preserve">in the Census of </w:t>
      </w:r>
      <w:r w:rsidR="008A66EA">
        <w:rPr>
          <w:rFonts w:cstheme="minorHAnsi"/>
          <w:color w:val="000000"/>
        </w:rPr>
        <w:t xml:space="preserve">Population </w:t>
      </w:r>
      <w:r>
        <w:rPr>
          <w:rFonts w:cstheme="minorHAnsi"/>
          <w:color w:val="000000"/>
        </w:rPr>
        <w:t xml:space="preserve">and </w:t>
      </w:r>
      <w:r w:rsidR="008A66EA">
        <w:rPr>
          <w:rFonts w:cstheme="minorHAnsi"/>
          <w:color w:val="000000"/>
        </w:rPr>
        <w:t xml:space="preserve">Housing </w:t>
      </w:r>
      <w:r>
        <w:rPr>
          <w:rFonts w:cstheme="minorHAnsi"/>
          <w:color w:val="000000"/>
        </w:rPr>
        <w:t>(the Census).</w:t>
      </w:r>
    </w:p>
    <w:p w14:paraId="676C24F3" w14:textId="5C3C2340" w:rsidR="00B55791" w:rsidRPr="007F1C4F" w:rsidRDefault="00B55791" w:rsidP="00B55791">
      <w:pPr>
        <w:pStyle w:val="NoSpacing"/>
        <w:rPr>
          <w:b/>
          <w:bCs/>
        </w:rPr>
      </w:pPr>
      <w:r>
        <w:rPr>
          <w:b/>
          <w:bCs/>
        </w:rPr>
        <w:t>How is the ASCCEG Classification structured?</w:t>
      </w:r>
    </w:p>
    <w:p w14:paraId="35E12CDD" w14:textId="01FA0B34" w:rsidR="00871B4A" w:rsidRDefault="00871B4A" w:rsidP="00A9067F">
      <w:pPr>
        <w:rPr>
          <w:rFonts w:ascii="Calibri" w:hAnsi="Calibri" w:cs="Calibri"/>
        </w:rPr>
      </w:pPr>
      <w:r>
        <w:rPr>
          <w:rFonts w:ascii="Calibri" w:hAnsi="Calibri" w:cs="Calibri"/>
        </w:rPr>
        <w:t xml:space="preserve">The ASCCEG classification has a </w:t>
      </w:r>
      <w:r w:rsidR="0023706C">
        <w:rPr>
          <w:rFonts w:ascii="Calibri" w:hAnsi="Calibri" w:cs="Calibri"/>
        </w:rPr>
        <w:t>three-level</w:t>
      </w:r>
      <w:r>
        <w:rPr>
          <w:rFonts w:ascii="Calibri" w:hAnsi="Calibri" w:cs="Calibri"/>
        </w:rPr>
        <w:t xml:space="preserve"> hierarchical structure that consists of </w:t>
      </w:r>
      <w:r w:rsidR="003E4B83">
        <w:rPr>
          <w:rFonts w:ascii="Calibri" w:hAnsi="Calibri" w:cs="Calibri"/>
        </w:rPr>
        <w:t xml:space="preserve">Broad </w:t>
      </w:r>
      <w:r w:rsidR="00A10975">
        <w:rPr>
          <w:rFonts w:ascii="Calibri" w:hAnsi="Calibri" w:cs="Calibri"/>
        </w:rPr>
        <w:t>g</w:t>
      </w:r>
      <w:r w:rsidR="003E4B83">
        <w:rPr>
          <w:rFonts w:ascii="Calibri" w:hAnsi="Calibri" w:cs="Calibri"/>
        </w:rPr>
        <w:t>roups</w:t>
      </w:r>
      <w:r>
        <w:rPr>
          <w:rFonts w:ascii="Calibri" w:hAnsi="Calibri" w:cs="Calibri"/>
        </w:rPr>
        <w:t xml:space="preserve">, </w:t>
      </w:r>
      <w:r w:rsidR="003E4B83">
        <w:rPr>
          <w:rFonts w:ascii="Calibri" w:hAnsi="Calibri" w:cs="Calibri"/>
        </w:rPr>
        <w:t xml:space="preserve">Narrow </w:t>
      </w:r>
      <w:r w:rsidR="00A10975">
        <w:rPr>
          <w:rFonts w:ascii="Calibri" w:hAnsi="Calibri" w:cs="Calibri"/>
        </w:rPr>
        <w:t>groups</w:t>
      </w:r>
      <w:r>
        <w:rPr>
          <w:rFonts w:ascii="Calibri" w:hAnsi="Calibri" w:cs="Calibri"/>
        </w:rPr>
        <w:t xml:space="preserve">, and the </w:t>
      </w:r>
      <w:r w:rsidR="00A10975">
        <w:rPr>
          <w:rFonts w:ascii="Calibri" w:hAnsi="Calibri" w:cs="Calibri"/>
        </w:rPr>
        <w:t>C</w:t>
      </w:r>
      <w:r>
        <w:rPr>
          <w:rFonts w:ascii="Calibri" w:hAnsi="Calibri" w:cs="Calibri"/>
        </w:rPr>
        <w:t xml:space="preserve">ultural and </w:t>
      </w:r>
      <w:r w:rsidR="00A10975">
        <w:rPr>
          <w:rFonts w:ascii="Calibri" w:hAnsi="Calibri" w:cs="Calibri"/>
        </w:rPr>
        <w:t xml:space="preserve">Ethnic </w:t>
      </w:r>
      <w:r>
        <w:rPr>
          <w:rFonts w:ascii="Calibri" w:hAnsi="Calibri" w:cs="Calibri"/>
        </w:rPr>
        <w:t>groups.</w:t>
      </w:r>
    </w:p>
    <w:p w14:paraId="6868712D" w14:textId="2191D8DA" w:rsidR="00B55791" w:rsidRPr="00B55791" w:rsidRDefault="00B55791" w:rsidP="00A9067F">
      <w:pPr>
        <w:rPr>
          <w:rFonts w:ascii="Calibri" w:hAnsi="Calibri" w:cs="Calibri"/>
          <w:u w:val="single"/>
        </w:rPr>
      </w:pPr>
      <w:r w:rsidRPr="00B55791">
        <w:rPr>
          <w:rFonts w:ascii="Calibri" w:hAnsi="Calibri" w:cs="Calibri"/>
          <w:u w:val="single"/>
        </w:rPr>
        <w:t>Broad Group Level</w:t>
      </w:r>
    </w:p>
    <w:p w14:paraId="21385725" w14:textId="43BDA32B" w:rsidR="00B55791" w:rsidRDefault="00DE0B90" w:rsidP="00A9067F">
      <w:pPr>
        <w:rPr>
          <w:rFonts w:ascii="Calibri" w:hAnsi="Calibri" w:cs="Calibri"/>
        </w:rPr>
      </w:pPr>
      <w:r>
        <w:rPr>
          <w:rFonts w:ascii="Calibri" w:hAnsi="Calibri" w:cs="Calibri"/>
        </w:rPr>
        <w:t xml:space="preserve">The </w:t>
      </w:r>
      <w:r w:rsidR="007804D3">
        <w:rPr>
          <w:rFonts w:ascii="Calibri" w:hAnsi="Calibri" w:cs="Calibri"/>
        </w:rPr>
        <w:t xml:space="preserve">Broad </w:t>
      </w:r>
      <w:r>
        <w:rPr>
          <w:rFonts w:ascii="Calibri" w:hAnsi="Calibri" w:cs="Calibri"/>
        </w:rPr>
        <w:t>group level (one-digit</w:t>
      </w:r>
      <w:r w:rsidR="0048695C">
        <w:rPr>
          <w:rFonts w:ascii="Calibri" w:hAnsi="Calibri" w:cs="Calibri"/>
        </w:rPr>
        <w:t xml:space="preserve"> </w:t>
      </w:r>
      <w:r w:rsidR="001000E0" w:rsidRPr="00997617">
        <w:rPr>
          <w:rFonts w:ascii="Calibri" w:hAnsi="Calibri" w:cs="Calibri"/>
        </w:rPr>
        <w:t>code</w:t>
      </w:r>
      <w:r>
        <w:rPr>
          <w:rFonts w:ascii="Calibri" w:hAnsi="Calibri" w:cs="Calibri"/>
        </w:rPr>
        <w:t>) is the highest and most general level of the classification.</w:t>
      </w:r>
      <w:r w:rsidR="00017322">
        <w:rPr>
          <w:rFonts w:ascii="Calibri" w:hAnsi="Calibri" w:cs="Calibri"/>
        </w:rPr>
        <w:t xml:space="preserve"> Broad </w:t>
      </w:r>
      <w:r w:rsidR="00513B35">
        <w:rPr>
          <w:rFonts w:ascii="Calibri" w:hAnsi="Calibri" w:cs="Calibri"/>
        </w:rPr>
        <w:t>g</w:t>
      </w:r>
      <w:r w:rsidR="00017322">
        <w:rPr>
          <w:rFonts w:ascii="Calibri" w:hAnsi="Calibri" w:cs="Calibri"/>
        </w:rPr>
        <w:t xml:space="preserve">roups are formed by aggregating </w:t>
      </w:r>
      <w:r w:rsidR="00854D13">
        <w:rPr>
          <w:rFonts w:ascii="Calibri" w:hAnsi="Calibri" w:cs="Calibri"/>
        </w:rPr>
        <w:t xml:space="preserve">Narrow </w:t>
      </w:r>
      <w:r w:rsidR="00017322">
        <w:rPr>
          <w:rFonts w:ascii="Calibri" w:hAnsi="Calibri" w:cs="Calibri"/>
        </w:rPr>
        <w:t xml:space="preserve">groups </w:t>
      </w:r>
      <w:r w:rsidR="007355F9">
        <w:rPr>
          <w:rFonts w:ascii="Calibri" w:hAnsi="Calibri" w:cs="Calibri"/>
        </w:rPr>
        <w:t xml:space="preserve">that are </w:t>
      </w:r>
      <w:r w:rsidR="00017322">
        <w:rPr>
          <w:rFonts w:ascii="Calibri" w:hAnsi="Calibri" w:cs="Calibri"/>
        </w:rPr>
        <w:t>geographically proximate and similar</w:t>
      </w:r>
      <w:r w:rsidR="0048695C">
        <w:rPr>
          <w:rFonts w:ascii="Calibri" w:hAnsi="Calibri" w:cs="Calibri"/>
        </w:rPr>
        <w:t xml:space="preserve"> in cultural and social </w:t>
      </w:r>
      <w:r w:rsidR="00017322">
        <w:rPr>
          <w:rFonts w:ascii="Calibri" w:hAnsi="Calibri" w:cs="Calibri"/>
        </w:rPr>
        <w:t xml:space="preserve">characteristics. </w:t>
      </w:r>
      <w:r>
        <w:rPr>
          <w:rFonts w:ascii="Calibri" w:hAnsi="Calibri" w:cs="Calibri"/>
        </w:rPr>
        <w:t xml:space="preserve"> There are nine </w:t>
      </w:r>
      <w:r w:rsidR="00B03C93">
        <w:rPr>
          <w:rFonts w:ascii="Calibri" w:hAnsi="Calibri" w:cs="Calibri"/>
        </w:rPr>
        <w:t xml:space="preserve">Broad </w:t>
      </w:r>
      <w:r>
        <w:rPr>
          <w:rFonts w:ascii="Calibri" w:hAnsi="Calibri" w:cs="Calibri"/>
        </w:rPr>
        <w:t>groups</w:t>
      </w:r>
      <w:r w:rsidR="00B55791">
        <w:rPr>
          <w:rFonts w:ascii="Calibri" w:hAnsi="Calibri" w:cs="Calibri"/>
        </w:rPr>
        <w:t>:</w:t>
      </w:r>
    </w:p>
    <w:p w14:paraId="1003B670" w14:textId="77777777" w:rsidR="00B55791" w:rsidRDefault="00B55791" w:rsidP="00B55791">
      <w:pPr>
        <w:pStyle w:val="ListParagraph"/>
        <w:numPr>
          <w:ilvl w:val="0"/>
          <w:numId w:val="6"/>
        </w:numPr>
        <w:rPr>
          <w:rFonts w:ascii="Calibri" w:hAnsi="Calibri" w:cs="Calibri"/>
        </w:rPr>
      </w:pPr>
      <w:r>
        <w:rPr>
          <w:rFonts w:ascii="Calibri" w:hAnsi="Calibri" w:cs="Calibri"/>
        </w:rPr>
        <w:t>Oceanian</w:t>
      </w:r>
    </w:p>
    <w:p w14:paraId="3BA70570" w14:textId="77777777" w:rsidR="00B55791" w:rsidRDefault="00B55791" w:rsidP="00B55791">
      <w:pPr>
        <w:pStyle w:val="ListParagraph"/>
        <w:numPr>
          <w:ilvl w:val="0"/>
          <w:numId w:val="6"/>
        </w:numPr>
        <w:rPr>
          <w:rFonts w:ascii="Calibri" w:hAnsi="Calibri" w:cs="Calibri"/>
        </w:rPr>
      </w:pPr>
      <w:r>
        <w:rPr>
          <w:rFonts w:ascii="Calibri" w:hAnsi="Calibri" w:cs="Calibri"/>
        </w:rPr>
        <w:t>North-West European</w:t>
      </w:r>
    </w:p>
    <w:p w14:paraId="10814413" w14:textId="77777777" w:rsidR="00B55791" w:rsidRDefault="00B55791" w:rsidP="00B55791">
      <w:pPr>
        <w:pStyle w:val="ListParagraph"/>
        <w:numPr>
          <w:ilvl w:val="0"/>
          <w:numId w:val="6"/>
        </w:numPr>
        <w:rPr>
          <w:rFonts w:ascii="Calibri" w:hAnsi="Calibri" w:cs="Calibri"/>
        </w:rPr>
      </w:pPr>
      <w:r>
        <w:rPr>
          <w:rFonts w:ascii="Calibri" w:hAnsi="Calibri" w:cs="Calibri"/>
        </w:rPr>
        <w:t>Southern and Eastern European</w:t>
      </w:r>
    </w:p>
    <w:p w14:paraId="7BC402B7" w14:textId="77777777" w:rsidR="00B55791" w:rsidRDefault="00B55791" w:rsidP="00B55791">
      <w:pPr>
        <w:pStyle w:val="ListParagraph"/>
        <w:numPr>
          <w:ilvl w:val="0"/>
          <w:numId w:val="6"/>
        </w:numPr>
        <w:rPr>
          <w:rFonts w:ascii="Calibri" w:hAnsi="Calibri" w:cs="Calibri"/>
        </w:rPr>
      </w:pPr>
      <w:r>
        <w:rPr>
          <w:rFonts w:ascii="Calibri" w:hAnsi="Calibri" w:cs="Calibri"/>
        </w:rPr>
        <w:t>North African and Middle Eastern</w:t>
      </w:r>
    </w:p>
    <w:p w14:paraId="2D1ECEDF" w14:textId="77777777" w:rsidR="00B55791" w:rsidRDefault="00B55791" w:rsidP="00B55791">
      <w:pPr>
        <w:pStyle w:val="ListParagraph"/>
        <w:numPr>
          <w:ilvl w:val="0"/>
          <w:numId w:val="6"/>
        </w:numPr>
        <w:rPr>
          <w:rFonts w:ascii="Calibri" w:hAnsi="Calibri" w:cs="Calibri"/>
        </w:rPr>
      </w:pPr>
      <w:r>
        <w:rPr>
          <w:rFonts w:ascii="Calibri" w:hAnsi="Calibri" w:cs="Calibri"/>
        </w:rPr>
        <w:t>South-East Asian</w:t>
      </w:r>
    </w:p>
    <w:p w14:paraId="1B54F2C3" w14:textId="77777777" w:rsidR="00B55791" w:rsidRDefault="00B55791" w:rsidP="00B55791">
      <w:pPr>
        <w:pStyle w:val="ListParagraph"/>
        <w:numPr>
          <w:ilvl w:val="0"/>
          <w:numId w:val="6"/>
        </w:numPr>
        <w:rPr>
          <w:rFonts w:ascii="Calibri" w:hAnsi="Calibri" w:cs="Calibri"/>
        </w:rPr>
      </w:pPr>
      <w:r>
        <w:rPr>
          <w:rFonts w:ascii="Calibri" w:hAnsi="Calibri" w:cs="Calibri"/>
        </w:rPr>
        <w:t>North-East Asian</w:t>
      </w:r>
    </w:p>
    <w:p w14:paraId="0FC6A9CF" w14:textId="77777777" w:rsidR="00B55791" w:rsidRDefault="00B55791" w:rsidP="00B55791">
      <w:pPr>
        <w:pStyle w:val="ListParagraph"/>
        <w:numPr>
          <w:ilvl w:val="0"/>
          <w:numId w:val="6"/>
        </w:numPr>
        <w:rPr>
          <w:rFonts w:ascii="Calibri" w:hAnsi="Calibri" w:cs="Calibri"/>
        </w:rPr>
      </w:pPr>
      <w:r>
        <w:rPr>
          <w:rFonts w:ascii="Calibri" w:hAnsi="Calibri" w:cs="Calibri"/>
        </w:rPr>
        <w:t>Southern and Central Asian</w:t>
      </w:r>
    </w:p>
    <w:p w14:paraId="22459744" w14:textId="77777777" w:rsidR="00B55791" w:rsidRDefault="00B55791" w:rsidP="00B55791">
      <w:pPr>
        <w:pStyle w:val="ListParagraph"/>
        <w:numPr>
          <w:ilvl w:val="0"/>
          <w:numId w:val="6"/>
        </w:numPr>
        <w:rPr>
          <w:rFonts w:ascii="Calibri" w:hAnsi="Calibri" w:cs="Calibri"/>
        </w:rPr>
      </w:pPr>
      <w:r>
        <w:rPr>
          <w:rFonts w:ascii="Calibri" w:hAnsi="Calibri" w:cs="Calibri"/>
        </w:rPr>
        <w:t>Peoples of the Americas</w:t>
      </w:r>
    </w:p>
    <w:p w14:paraId="48B147B8" w14:textId="47095549" w:rsidR="00B55791" w:rsidRPr="0083467D" w:rsidRDefault="00B55791" w:rsidP="00A9067F">
      <w:pPr>
        <w:pStyle w:val="ListParagraph"/>
        <w:numPr>
          <w:ilvl w:val="0"/>
          <w:numId w:val="6"/>
        </w:numPr>
        <w:rPr>
          <w:rFonts w:ascii="Calibri" w:hAnsi="Calibri" w:cs="Calibri"/>
        </w:rPr>
      </w:pPr>
      <w:r>
        <w:rPr>
          <w:rFonts w:ascii="Calibri" w:hAnsi="Calibri" w:cs="Calibri"/>
        </w:rPr>
        <w:t>Sub-Saharan African</w:t>
      </w:r>
      <w:r w:rsidR="00224DEA" w:rsidRPr="00B55791">
        <w:rPr>
          <w:rFonts w:ascii="Calibri" w:hAnsi="Calibri" w:cs="Calibri"/>
        </w:rPr>
        <w:t xml:space="preserve"> </w:t>
      </w:r>
    </w:p>
    <w:p w14:paraId="37DD6E27" w14:textId="3B501130" w:rsidR="0083467D" w:rsidRPr="00B55791" w:rsidRDefault="0083467D" w:rsidP="0083467D">
      <w:pPr>
        <w:rPr>
          <w:rFonts w:ascii="Calibri" w:hAnsi="Calibri" w:cs="Calibri"/>
          <w:u w:val="single"/>
        </w:rPr>
      </w:pPr>
      <w:r>
        <w:rPr>
          <w:rFonts w:ascii="Calibri" w:hAnsi="Calibri" w:cs="Calibri"/>
          <w:u w:val="single"/>
        </w:rPr>
        <w:t xml:space="preserve">Narrow </w:t>
      </w:r>
      <w:r w:rsidRPr="00B55791">
        <w:rPr>
          <w:rFonts w:ascii="Calibri" w:hAnsi="Calibri" w:cs="Calibri"/>
          <w:u w:val="single"/>
        </w:rPr>
        <w:t>Group Level</w:t>
      </w:r>
    </w:p>
    <w:p w14:paraId="0E655389" w14:textId="10C1AC23" w:rsidR="005540D5" w:rsidRDefault="00017322" w:rsidP="00A9067F">
      <w:pPr>
        <w:rPr>
          <w:rFonts w:ascii="Calibri" w:hAnsi="Calibri" w:cs="Calibri"/>
        </w:rPr>
      </w:pPr>
      <w:r>
        <w:rPr>
          <w:rFonts w:ascii="Calibri" w:hAnsi="Calibri" w:cs="Calibri"/>
        </w:rPr>
        <w:t xml:space="preserve">The second level of the classification </w:t>
      </w:r>
      <w:r w:rsidR="009D0667">
        <w:rPr>
          <w:rFonts w:ascii="Calibri" w:hAnsi="Calibri" w:cs="Calibri"/>
        </w:rPr>
        <w:t>are</w:t>
      </w:r>
      <w:r>
        <w:rPr>
          <w:rFonts w:ascii="Calibri" w:hAnsi="Calibri" w:cs="Calibri"/>
        </w:rPr>
        <w:t xml:space="preserve"> the Narrow </w:t>
      </w:r>
      <w:r w:rsidR="007B08A8">
        <w:rPr>
          <w:rFonts w:ascii="Calibri" w:hAnsi="Calibri" w:cs="Calibri"/>
        </w:rPr>
        <w:t>g</w:t>
      </w:r>
      <w:r>
        <w:rPr>
          <w:rFonts w:ascii="Calibri" w:hAnsi="Calibri" w:cs="Calibri"/>
        </w:rPr>
        <w:t>roups</w:t>
      </w:r>
      <w:r w:rsidR="00224DEA">
        <w:rPr>
          <w:rFonts w:ascii="Calibri" w:hAnsi="Calibri" w:cs="Calibri"/>
        </w:rPr>
        <w:t xml:space="preserve"> represented by two-digit codes. </w:t>
      </w:r>
      <w:r w:rsidR="005540D5">
        <w:rPr>
          <w:rFonts w:ascii="Calibri" w:hAnsi="Calibri" w:cs="Calibri"/>
        </w:rPr>
        <w:t xml:space="preserve">The ASCCEG contains 28 </w:t>
      </w:r>
      <w:r w:rsidR="008537C4">
        <w:rPr>
          <w:rFonts w:ascii="Calibri" w:hAnsi="Calibri" w:cs="Calibri"/>
        </w:rPr>
        <w:t>N</w:t>
      </w:r>
      <w:r w:rsidR="005540D5">
        <w:rPr>
          <w:rFonts w:ascii="Calibri" w:hAnsi="Calibri" w:cs="Calibri"/>
        </w:rPr>
        <w:t>arrow groups</w:t>
      </w:r>
      <w:r w:rsidR="00BB1AA1">
        <w:rPr>
          <w:rFonts w:ascii="Calibri" w:hAnsi="Calibri" w:cs="Calibri"/>
        </w:rPr>
        <w:t>,</w:t>
      </w:r>
      <w:r w:rsidR="005540D5">
        <w:rPr>
          <w:rFonts w:ascii="Calibri" w:hAnsi="Calibri" w:cs="Calibri"/>
        </w:rPr>
        <w:t xml:space="preserve"> </w:t>
      </w:r>
      <w:r w:rsidR="00BB1AA1">
        <w:rPr>
          <w:rFonts w:ascii="Calibri" w:hAnsi="Calibri" w:cs="Calibri"/>
        </w:rPr>
        <w:t xml:space="preserve">most of them </w:t>
      </w:r>
      <w:r w:rsidR="005540D5">
        <w:rPr>
          <w:rFonts w:ascii="Calibri" w:hAnsi="Calibri" w:cs="Calibri"/>
        </w:rPr>
        <w:t xml:space="preserve">formed by aggregating Cultural and Ethnic groups based on the classification criteria (geographic proximity and </w:t>
      </w:r>
      <w:r w:rsidR="009D0667" w:rsidRPr="009D0667">
        <w:rPr>
          <w:rFonts w:ascii="Calibri" w:hAnsi="Calibri" w:cs="Calibri"/>
        </w:rPr>
        <w:t>a</w:t>
      </w:r>
      <w:r w:rsidR="001000E0" w:rsidRPr="009D0667">
        <w:rPr>
          <w:rFonts w:ascii="Calibri" w:hAnsi="Calibri" w:cs="Calibri"/>
        </w:rPr>
        <w:t xml:space="preserve"> </w:t>
      </w:r>
      <w:r w:rsidR="005540D5">
        <w:rPr>
          <w:rFonts w:ascii="Calibri" w:hAnsi="Calibri" w:cs="Calibri"/>
        </w:rPr>
        <w:t xml:space="preserve">degree of similarity of cultural and social characteristics). </w:t>
      </w:r>
    </w:p>
    <w:p w14:paraId="43EC28B8" w14:textId="1F0BA225" w:rsidR="00827792" w:rsidRDefault="008537C4" w:rsidP="00A9067F">
      <w:pPr>
        <w:rPr>
          <w:rFonts w:ascii="Calibri" w:hAnsi="Calibri" w:cs="Calibri"/>
        </w:rPr>
      </w:pPr>
      <w:r w:rsidRPr="001D69CE">
        <w:rPr>
          <w:rFonts w:cstheme="minorHAnsi"/>
        </w:rPr>
        <w:t>The only exception</w:t>
      </w:r>
      <w:r w:rsidR="00DF0A69">
        <w:rPr>
          <w:rFonts w:cstheme="minorHAnsi"/>
        </w:rPr>
        <w:t>s</w:t>
      </w:r>
      <w:r>
        <w:rPr>
          <w:rFonts w:cstheme="minorHAnsi"/>
        </w:rPr>
        <w:t xml:space="preserve"> to this are </w:t>
      </w:r>
      <w:r w:rsidR="005540D5">
        <w:rPr>
          <w:rFonts w:ascii="Calibri" w:hAnsi="Calibri" w:cs="Calibri"/>
        </w:rPr>
        <w:t xml:space="preserve">instances </w:t>
      </w:r>
      <w:r>
        <w:rPr>
          <w:rFonts w:ascii="Calibri" w:hAnsi="Calibri" w:cs="Calibri"/>
        </w:rPr>
        <w:t>where</w:t>
      </w:r>
      <w:r w:rsidR="00827792">
        <w:rPr>
          <w:rFonts w:ascii="Calibri" w:hAnsi="Calibri" w:cs="Calibri"/>
        </w:rPr>
        <w:t>:</w:t>
      </w:r>
    </w:p>
    <w:p w14:paraId="23C47246" w14:textId="5D882477" w:rsidR="00827792" w:rsidRDefault="00827792" w:rsidP="00827792">
      <w:pPr>
        <w:pStyle w:val="ListParagraph"/>
        <w:numPr>
          <w:ilvl w:val="0"/>
          <w:numId w:val="10"/>
        </w:numPr>
        <w:rPr>
          <w:rFonts w:ascii="Calibri" w:hAnsi="Calibri" w:cs="Calibri"/>
        </w:rPr>
      </w:pPr>
      <w:r>
        <w:rPr>
          <w:rFonts w:ascii="Calibri" w:hAnsi="Calibri" w:cs="Calibri"/>
        </w:rPr>
        <w:lastRenderedPageBreak/>
        <w:t>A</w:t>
      </w:r>
      <w:r w:rsidR="005540D5" w:rsidRPr="00827792">
        <w:rPr>
          <w:rFonts w:ascii="Calibri" w:hAnsi="Calibri" w:cs="Calibri"/>
        </w:rPr>
        <w:t xml:space="preserve"> Narrow group is represented by a single country</w:t>
      </w:r>
      <w:r w:rsidR="002B6CA5" w:rsidRPr="00827792">
        <w:rPr>
          <w:rFonts w:ascii="Calibri" w:hAnsi="Calibri" w:cs="Calibri"/>
        </w:rPr>
        <w:t xml:space="preserve">: 11 Australian peoples; 12 New Zealand Peoples; and 21 </w:t>
      </w:r>
      <w:r w:rsidR="004D347E" w:rsidRPr="00827792">
        <w:rPr>
          <w:rFonts w:ascii="Calibri" w:hAnsi="Calibri" w:cs="Calibri"/>
        </w:rPr>
        <w:t>British</w:t>
      </w:r>
      <w:r w:rsidR="004D347E">
        <w:rPr>
          <w:rFonts w:ascii="Calibri" w:hAnsi="Calibri" w:cs="Calibri"/>
        </w:rPr>
        <w:t>.</w:t>
      </w:r>
    </w:p>
    <w:p w14:paraId="75AD04B3" w14:textId="2D26FD80" w:rsidR="002B6CA5" w:rsidRPr="00827792" w:rsidRDefault="00827792" w:rsidP="00827792">
      <w:pPr>
        <w:pStyle w:val="ListParagraph"/>
        <w:numPr>
          <w:ilvl w:val="0"/>
          <w:numId w:val="10"/>
        </w:numPr>
        <w:rPr>
          <w:rFonts w:ascii="Calibri" w:hAnsi="Calibri" w:cs="Calibri"/>
        </w:rPr>
      </w:pPr>
      <w:r>
        <w:rPr>
          <w:rFonts w:ascii="Calibri" w:hAnsi="Calibri" w:cs="Calibri"/>
        </w:rPr>
        <w:t xml:space="preserve">A </w:t>
      </w:r>
      <w:r w:rsidR="002B6CA5" w:rsidRPr="00827792">
        <w:rPr>
          <w:rFonts w:ascii="Calibri" w:hAnsi="Calibri" w:cs="Calibri"/>
        </w:rPr>
        <w:t>Narrow group represent</w:t>
      </w:r>
      <w:r>
        <w:rPr>
          <w:rFonts w:ascii="Calibri" w:hAnsi="Calibri" w:cs="Calibri"/>
        </w:rPr>
        <w:t>s</w:t>
      </w:r>
      <w:r w:rsidR="002B6CA5" w:rsidRPr="00827792">
        <w:rPr>
          <w:rFonts w:ascii="Calibri" w:hAnsi="Calibri" w:cs="Calibri"/>
        </w:rPr>
        <w:t xml:space="preserve"> a single recognised ethnic or cultural entity: 22 Irish; 41 Arab; and 42 Jewish.</w:t>
      </w:r>
    </w:p>
    <w:p w14:paraId="51EAFAF1" w14:textId="22B22EC6" w:rsidR="008267CF" w:rsidRPr="00B55791" w:rsidRDefault="008267CF" w:rsidP="008267CF">
      <w:pPr>
        <w:rPr>
          <w:rFonts w:ascii="Calibri" w:hAnsi="Calibri" w:cs="Calibri"/>
          <w:u w:val="single"/>
        </w:rPr>
      </w:pPr>
      <w:r>
        <w:rPr>
          <w:rFonts w:ascii="Calibri" w:hAnsi="Calibri" w:cs="Calibri"/>
          <w:u w:val="single"/>
        </w:rPr>
        <w:t>Cultural and Ethnic Groups</w:t>
      </w:r>
    </w:p>
    <w:p w14:paraId="4DC06308" w14:textId="77777777" w:rsidR="007B0B03" w:rsidRDefault="008267CF" w:rsidP="00BB54E9">
      <w:r>
        <w:rPr>
          <w:rFonts w:ascii="Calibri" w:hAnsi="Calibri" w:cs="Calibri"/>
        </w:rPr>
        <w:t xml:space="preserve">The third and most detailed level of the classification consists of 278 </w:t>
      </w:r>
      <w:r w:rsidR="00BB1AA1">
        <w:rPr>
          <w:rFonts w:ascii="Calibri" w:hAnsi="Calibri" w:cs="Calibri"/>
        </w:rPr>
        <w:t xml:space="preserve">Cultural </w:t>
      </w:r>
      <w:r>
        <w:rPr>
          <w:rFonts w:ascii="Calibri" w:hAnsi="Calibri" w:cs="Calibri"/>
        </w:rPr>
        <w:t xml:space="preserve">and </w:t>
      </w:r>
      <w:r w:rsidR="00BB1AA1">
        <w:rPr>
          <w:rFonts w:ascii="Calibri" w:hAnsi="Calibri" w:cs="Calibri"/>
        </w:rPr>
        <w:t xml:space="preserve">Ethnic </w:t>
      </w:r>
      <w:r>
        <w:rPr>
          <w:rFonts w:ascii="Calibri" w:hAnsi="Calibri" w:cs="Calibri"/>
        </w:rPr>
        <w:t>groups</w:t>
      </w:r>
      <w:r w:rsidR="00D70C59">
        <w:t xml:space="preserve"> </w:t>
      </w:r>
      <w:r w:rsidR="00BB1AA1">
        <w:t>(4-digit level).</w:t>
      </w:r>
      <w:r w:rsidR="007B0B03">
        <w:t xml:space="preserve"> </w:t>
      </w:r>
    </w:p>
    <w:p w14:paraId="37DED924" w14:textId="29DE3C69" w:rsidR="00BB54E9" w:rsidRPr="00BB54E9" w:rsidRDefault="00BB54E9" w:rsidP="00BB54E9">
      <w:pPr>
        <w:rPr>
          <w:rFonts w:ascii="Calibri" w:hAnsi="Calibri" w:cs="Calibri"/>
        </w:rPr>
      </w:pPr>
      <w:r>
        <w:rPr>
          <w:rFonts w:ascii="Calibri" w:hAnsi="Calibri" w:cs="Calibri"/>
        </w:rPr>
        <w:t>An example of the classification hierarchy is provided in Table 1</w:t>
      </w:r>
      <w:r w:rsidR="00A8133F">
        <w:rPr>
          <w:rFonts w:ascii="Calibri" w:hAnsi="Calibri" w:cs="Calibri"/>
        </w:rPr>
        <w:t>.</w:t>
      </w:r>
    </w:p>
    <w:p w14:paraId="7B3CF917" w14:textId="418984B8" w:rsidR="00BB54E9" w:rsidRPr="00BB54E9" w:rsidRDefault="00BB54E9" w:rsidP="00BB54E9">
      <w:pPr>
        <w:rPr>
          <w:rFonts w:ascii="Calibri" w:hAnsi="Calibri" w:cs="Calibri"/>
        </w:rPr>
      </w:pPr>
      <w:r w:rsidRPr="00BB54E9">
        <w:rPr>
          <w:rFonts w:ascii="Calibri" w:hAnsi="Calibri" w:cs="Calibri"/>
          <w:b/>
          <w:bCs/>
        </w:rPr>
        <w:t>Table 1</w:t>
      </w:r>
      <w:r w:rsidRPr="00BB54E9">
        <w:rPr>
          <w:rFonts w:ascii="Calibri" w:hAnsi="Calibri" w:cs="Calibri"/>
        </w:rPr>
        <w:t xml:space="preserve">: </w:t>
      </w:r>
      <w:r w:rsidR="00997617">
        <w:rPr>
          <w:rFonts w:ascii="Calibri" w:hAnsi="Calibri" w:cs="Calibri"/>
        </w:rPr>
        <w:t>Example of Broad, Narrow</w:t>
      </w:r>
      <w:r w:rsidR="00796470">
        <w:rPr>
          <w:rFonts w:ascii="Calibri" w:hAnsi="Calibri" w:cs="Calibri"/>
        </w:rPr>
        <w:t>,</w:t>
      </w:r>
      <w:r w:rsidR="00997617">
        <w:rPr>
          <w:rFonts w:ascii="Calibri" w:hAnsi="Calibri" w:cs="Calibri"/>
        </w:rPr>
        <w:t xml:space="preserve"> and Cultural and Ethnic groups</w:t>
      </w:r>
      <w:r w:rsidRPr="00BB54E9">
        <w:rPr>
          <w:rFonts w:ascii="Calibri" w:hAnsi="Calibri" w:cs="Calibri"/>
        </w:rPr>
        <w:t xml:space="preserve"> in the AS</w:t>
      </w:r>
      <w:r w:rsidR="00F2242D">
        <w:rPr>
          <w:rFonts w:ascii="Calibri" w:hAnsi="Calibri" w:cs="Calibri"/>
        </w:rPr>
        <w:t>CCEG</w:t>
      </w:r>
      <w:r w:rsidR="00B81486">
        <w:rPr>
          <w:rFonts w:ascii="Calibri" w:hAnsi="Calibri" w:cs="Calibri"/>
        </w:rPr>
        <w:t>.</w:t>
      </w:r>
    </w:p>
    <w:tbl>
      <w:tblPr>
        <w:tblW w:w="9733" w:type="dxa"/>
        <w:tblInd w:w="-113" w:type="dxa"/>
        <w:tblLook w:val="04A0" w:firstRow="1" w:lastRow="0" w:firstColumn="1" w:lastColumn="0" w:noHBand="0" w:noVBand="1"/>
      </w:tblPr>
      <w:tblGrid>
        <w:gridCol w:w="113"/>
        <w:gridCol w:w="1555"/>
        <w:gridCol w:w="2976"/>
        <w:gridCol w:w="629"/>
        <w:gridCol w:w="4460"/>
      </w:tblGrid>
      <w:tr w:rsidR="00BB54E9" w:rsidRPr="00BB54E9" w14:paraId="062AD067" w14:textId="77777777" w:rsidTr="00B84F65">
        <w:trPr>
          <w:gridBefore w:val="1"/>
          <w:wBefore w:w="113" w:type="dxa"/>
          <w:trHeight w:val="300"/>
        </w:trPr>
        <w:tc>
          <w:tcPr>
            <w:tcW w:w="1555" w:type="dxa"/>
            <w:tcBorders>
              <w:top w:val="single" w:sz="4" w:space="0" w:color="auto"/>
              <w:left w:val="single" w:sz="4" w:space="0" w:color="FFFFFF"/>
              <w:bottom w:val="single" w:sz="4" w:space="0" w:color="auto"/>
              <w:right w:val="single" w:sz="4" w:space="0" w:color="FFFFFF"/>
            </w:tcBorders>
            <w:shd w:val="clear" w:color="auto" w:fill="D5DCE4" w:themeFill="text2" w:themeFillTint="33"/>
            <w:noWrap/>
            <w:vAlign w:val="bottom"/>
            <w:hideMark/>
          </w:tcPr>
          <w:p w14:paraId="6D2CDE57" w14:textId="77777777" w:rsidR="00BB54E9" w:rsidRPr="00BB54E9" w:rsidRDefault="00BB54E9" w:rsidP="00BB54E9">
            <w:pPr>
              <w:spacing w:after="0"/>
              <w:rPr>
                <w:rFonts w:ascii="Calibri" w:hAnsi="Calibri" w:cs="Calibri"/>
                <w:b/>
                <w:bCs/>
              </w:rPr>
            </w:pPr>
            <w:r w:rsidRPr="00BB54E9">
              <w:rPr>
                <w:rFonts w:ascii="Calibri" w:hAnsi="Calibri" w:cs="Calibri"/>
                <w:b/>
                <w:bCs/>
              </w:rPr>
              <w:t>Broad Group</w:t>
            </w:r>
          </w:p>
        </w:tc>
        <w:tc>
          <w:tcPr>
            <w:tcW w:w="2976" w:type="dxa"/>
            <w:tcBorders>
              <w:top w:val="single" w:sz="4" w:space="0" w:color="auto"/>
              <w:left w:val="nil"/>
              <w:bottom w:val="single" w:sz="4" w:space="0" w:color="auto"/>
              <w:right w:val="single" w:sz="4" w:space="0" w:color="FFFFFF"/>
            </w:tcBorders>
            <w:shd w:val="clear" w:color="auto" w:fill="D5DCE4" w:themeFill="text2" w:themeFillTint="33"/>
            <w:noWrap/>
            <w:vAlign w:val="bottom"/>
            <w:hideMark/>
          </w:tcPr>
          <w:p w14:paraId="6D5A9A87" w14:textId="77777777" w:rsidR="00BB54E9" w:rsidRPr="00BB54E9" w:rsidRDefault="00BB54E9" w:rsidP="00BB54E9">
            <w:pPr>
              <w:spacing w:after="0"/>
              <w:rPr>
                <w:rFonts w:ascii="Calibri" w:hAnsi="Calibri" w:cs="Calibri"/>
                <w:b/>
                <w:bCs/>
              </w:rPr>
            </w:pPr>
            <w:r w:rsidRPr="00BB54E9">
              <w:rPr>
                <w:rFonts w:ascii="Calibri" w:hAnsi="Calibri" w:cs="Calibri"/>
                <w:b/>
                <w:bCs/>
              </w:rPr>
              <w:t>Narrow Group</w:t>
            </w:r>
          </w:p>
        </w:tc>
        <w:tc>
          <w:tcPr>
            <w:tcW w:w="5089" w:type="dxa"/>
            <w:gridSpan w:val="2"/>
            <w:tcBorders>
              <w:top w:val="single" w:sz="4" w:space="0" w:color="auto"/>
              <w:left w:val="nil"/>
              <w:bottom w:val="single" w:sz="4" w:space="0" w:color="auto"/>
              <w:right w:val="single" w:sz="4" w:space="0" w:color="FFFFFF"/>
            </w:tcBorders>
            <w:shd w:val="clear" w:color="auto" w:fill="D5DCE4" w:themeFill="text2" w:themeFillTint="33"/>
            <w:noWrap/>
            <w:vAlign w:val="bottom"/>
            <w:hideMark/>
          </w:tcPr>
          <w:p w14:paraId="47E70EAD" w14:textId="1C8CDF08" w:rsidR="00BB54E9" w:rsidRPr="00BB54E9" w:rsidRDefault="00BB54E9" w:rsidP="00BB54E9">
            <w:pPr>
              <w:spacing w:after="0"/>
              <w:rPr>
                <w:rFonts w:ascii="Calibri" w:hAnsi="Calibri" w:cs="Calibri"/>
                <w:b/>
                <w:bCs/>
              </w:rPr>
            </w:pPr>
            <w:r>
              <w:rPr>
                <w:rFonts w:ascii="Calibri" w:hAnsi="Calibri" w:cs="Calibri"/>
                <w:b/>
                <w:bCs/>
              </w:rPr>
              <w:t xml:space="preserve">Cultural </w:t>
            </w:r>
            <w:r w:rsidR="00B05FB9">
              <w:rPr>
                <w:rFonts w:ascii="Calibri" w:hAnsi="Calibri" w:cs="Calibri"/>
                <w:b/>
                <w:bCs/>
              </w:rPr>
              <w:t>and</w:t>
            </w:r>
            <w:r>
              <w:rPr>
                <w:rFonts w:ascii="Calibri" w:hAnsi="Calibri" w:cs="Calibri"/>
                <w:b/>
                <w:bCs/>
              </w:rPr>
              <w:t xml:space="preserve"> Ethnic</w:t>
            </w:r>
            <w:r w:rsidRPr="00BB54E9">
              <w:rPr>
                <w:rFonts w:ascii="Calibri" w:hAnsi="Calibri" w:cs="Calibri"/>
                <w:b/>
                <w:bCs/>
              </w:rPr>
              <w:t xml:space="preserve"> Group</w:t>
            </w:r>
          </w:p>
        </w:tc>
      </w:tr>
      <w:tr w:rsidR="00BB54E9" w:rsidRPr="00BB54E9" w14:paraId="171351DF" w14:textId="77777777" w:rsidTr="00B84F65">
        <w:trPr>
          <w:gridBefore w:val="1"/>
          <w:wBefore w:w="113" w:type="dxa"/>
          <w:trHeight w:val="300"/>
        </w:trPr>
        <w:tc>
          <w:tcPr>
            <w:tcW w:w="1555" w:type="dxa"/>
            <w:tcBorders>
              <w:top w:val="single" w:sz="4" w:space="0" w:color="auto"/>
              <w:left w:val="single" w:sz="4" w:space="0" w:color="FFFFFF"/>
              <w:bottom w:val="single" w:sz="4" w:space="0" w:color="auto"/>
              <w:right w:val="single" w:sz="4" w:space="0" w:color="FFFFFF"/>
            </w:tcBorders>
            <w:noWrap/>
            <w:vAlign w:val="bottom"/>
            <w:hideMark/>
          </w:tcPr>
          <w:p w14:paraId="3389B2D2" w14:textId="3A2C8C0B" w:rsidR="00BB54E9" w:rsidRPr="00BB54E9" w:rsidRDefault="00F2242D" w:rsidP="00BB54E9">
            <w:pPr>
              <w:spacing w:after="0"/>
              <w:rPr>
                <w:rFonts w:ascii="Calibri" w:hAnsi="Calibri" w:cs="Calibri"/>
              </w:rPr>
            </w:pPr>
            <w:r>
              <w:rPr>
                <w:rFonts w:ascii="Calibri" w:hAnsi="Calibri" w:cs="Calibri"/>
              </w:rPr>
              <w:t>1</w:t>
            </w:r>
            <w:r w:rsidR="00BB54E9" w:rsidRPr="00BB54E9">
              <w:rPr>
                <w:rFonts w:ascii="Calibri" w:hAnsi="Calibri" w:cs="Calibri"/>
              </w:rPr>
              <w:t xml:space="preserve"> </w:t>
            </w:r>
            <w:r>
              <w:rPr>
                <w:rFonts w:ascii="Calibri" w:hAnsi="Calibri" w:cs="Calibri"/>
              </w:rPr>
              <w:t>Oceanian</w:t>
            </w:r>
            <w:r w:rsidR="00BB54E9" w:rsidRPr="00BB54E9">
              <w:rPr>
                <w:rFonts w:ascii="Calibri" w:hAnsi="Calibri" w:cs="Calibri"/>
              </w:rPr>
              <w:t xml:space="preserve"> </w:t>
            </w:r>
          </w:p>
        </w:tc>
        <w:tc>
          <w:tcPr>
            <w:tcW w:w="3605" w:type="dxa"/>
            <w:gridSpan w:val="2"/>
            <w:tcBorders>
              <w:top w:val="single" w:sz="4" w:space="0" w:color="auto"/>
              <w:left w:val="nil"/>
              <w:bottom w:val="single" w:sz="4" w:space="0" w:color="auto"/>
              <w:right w:val="single" w:sz="4" w:space="0" w:color="FFFFFF"/>
            </w:tcBorders>
            <w:noWrap/>
            <w:vAlign w:val="bottom"/>
            <w:hideMark/>
          </w:tcPr>
          <w:p w14:paraId="449DECFE" w14:textId="77777777" w:rsidR="00BB54E9" w:rsidRPr="00BB54E9" w:rsidRDefault="00BB54E9" w:rsidP="00BB54E9">
            <w:pPr>
              <w:spacing w:after="0"/>
              <w:rPr>
                <w:rFonts w:ascii="Calibri" w:hAnsi="Calibri" w:cs="Calibri"/>
              </w:rPr>
            </w:pPr>
            <w:r w:rsidRPr="00BB54E9">
              <w:rPr>
                <w:rFonts w:ascii="Calibri" w:hAnsi="Calibri" w:cs="Calibri"/>
              </w:rPr>
              <w:t> </w:t>
            </w:r>
          </w:p>
        </w:tc>
        <w:tc>
          <w:tcPr>
            <w:tcW w:w="4460" w:type="dxa"/>
            <w:tcBorders>
              <w:top w:val="single" w:sz="4" w:space="0" w:color="auto"/>
              <w:left w:val="nil"/>
              <w:bottom w:val="single" w:sz="4" w:space="0" w:color="auto"/>
              <w:right w:val="single" w:sz="4" w:space="0" w:color="FFFFFF"/>
            </w:tcBorders>
            <w:noWrap/>
            <w:vAlign w:val="bottom"/>
            <w:hideMark/>
          </w:tcPr>
          <w:p w14:paraId="7999A9C8" w14:textId="77777777" w:rsidR="00BB54E9" w:rsidRPr="00BB54E9" w:rsidRDefault="00BB54E9" w:rsidP="00BB54E9">
            <w:pPr>
              <w:spacing w:after="0"/>
              <w:rPr>
                <w:rFonts w:ascii="Calibri" w:hAnsi="Calibri" w:cs="Calibri"/>
              </w:rPr>
            </w:pPr>
            <w:r w:rsidRPr="00BB54E9">
              <w:rPr>
                <w:rFonts w:ascii="Calibri" w:hAnsi="Calibri" w:cs="Calibri"/>
              </w:rPr>
              <w:t> </w:t>
            </w:r>
          </w:p>
        </w:tc>
      </w:tr>
      <w:tr w:rsidR="00BB54E9" w:rsidRPr="00BB54E9" w14:paraId="6A2D2878" w14:textId="77777777" w:rsidTr="00B84F65">
        <w:trPr>
          <w:gridBefore w:val="1"/>
          <w:wBefore w:w="113" w:type="dxa"/>
          <w:trHeight w:val="300"/>
        </w:trPr>
        <w:tc>
          <w:tcPr>
            <w:tcW w:w="1555" w:type="dxa"/>
            <w:tcBorders>
              <w:top w:val="single" w:sz="4" w:space="0" w:color="FFFFFF"/>
              <w:left w:val="single" w:sz="4" w:space="0" w:color="FFFFFF"/>
              <w:bottom w:val="single" w:sz="4" w:space="0" w:color="FFFFFF"/>
              <w:right w:val="single" w:sz="4" w:space="0" w:color="FFFFFF"/>
            </w:tcBorders>
            <w:noWrap/>
            <w:vAlign w:val="bottom"/>
            <w:hideMark/>
          </w:tcPr>
          <w:p w14:paraId="5B38A75C" w14:textId="77777777" w:rsidR="00BB54E9" w:rsidRPr="00BB54E9" w:rsidRDefault="00BB54E9" w:rsidP="00BB54E9">
            <w:pPr>
              <w:spacing w:after="0"/>
              <w:rPr>
                <w:rFonts w:ascii="Calibri" w:hAnsi="Calibri" w:cs="Calibri"/>
              </w:rPr>
            </w:pPr>
            <w:r w:rsidRPr="00BB54E9">
              <w:rPr>
                <w:rFonts w:ascii="Calibri" w:hAnsi="Calibri" w:cs="Calibri"/>
              </w:rPr>
              <w:t> </w:t>
            </w:r>
          </w:p>
        </w:tc>
        <w:tc>
          <w:tcPr>
            <w:tcW w:w="3605" w:type="dxa"/>
            <w:gridSpan w:val="2"/>
            <w:tcBorders>
              <w:top w:val="nil"/>
              <w:left w:val="nil"/>
              <w:bottom w:val="single" w:sz="4" w:space="0" w:color="auto"/>
              <w:right w:val="single" w:sz="4" w:space="0" w:color="FFFFFF"/>
            </w:tcBorders>
            <w:noWrap/>
            <w:vAlign w:val="bottom"/>
            <w:hideMark/>
          </w:tcPr>
          <w:p w14:paraId="27795BF9" w14:textId="59E0D529" w:rsidR="00BB54E9" w:rsidRPr="00BB54E9" w:rsidRDefault="00F2242D" w:rsidP="00BB54E9">
            <w:pPr>
              <w:spacing w:after="0"/>
              <w:rPr>
                <w:rFonts w:ascii="Calibri" w:hAnsi="Calibri" w:cs="Calibri"/>
              </w:rPr>
            </w:pPr>
            <w:r>
              <w:rPr>
                <w:rFonts w:ascii="Calibri" w:hAnsi="Calibri" w:cs="Calibri"/>
              </w:rPr>
              <w:t>11 Australian Peoples</w:t>
            </w:r>
          </w:p>
        </w:tc>
        <w:tc>
          <w:tcPr>
            <w:tcW w:w="4460" w:type="dxa"/>
            <w:tcBorders>
              <w:top w:val="nil"/>
              <w:left w:val="nil"/>
              <w:bottom w:val="single" w:sz="4" w:space="0" w:color="auto"/>
              <w:right w:val="single" w:sz="4" w:space="0" w:color="FFFFFF"/>
            </w:tcBorders>
            <w:noWrap/>
            <w:vAlign w:val="bottom"/>
            <w:hideMark/>
          </w:tcPr>
          <w:p w14:paraId="75CA3A58" w14:textId="77777777" w:rsidR="00BB54E9" w:rsidRPr="00BB54E9" w:rsidRDefault="00BB54E9" w:rsidP="00BB54E9">
            <w:pPr>
              <w:spacing w:after="0"/>
              <w:rPr>
                <w:rFonts w:ascii="Calibri" w:hAnsi="Calibri" w:cs="Calibri"/>
              </w:rPr>
            </w:pPr>
            <w:r w:rsidRPr="00BB54E9">
              <w:rPr>
                <w:rFonts w:ascii="Calibri" w:hAnsi="Calibri" w:cs="Calibri"/>
              </w:rPr>
              <w:t> </w:t>
            </w:r>
          </w:p>
        </w:tc>
      </w:tr>
      <w:tr w:rsidR="00BB54E9" w:rsidRPr="00BB54E9" w14:paraId="1EE6790E" w14:textId="77777777" w:rsidTr="00B84F65">
        <w:trPr>
          <w:gridBefore w:val="1"/>
          <w:wBefore w:w="113" w:type="dxa"/>
          <w:trHeight w:val="300"/>
        </w:trPr>
        <w:tc>
          <w:tcPr>
            <w:tcW w:w="1555" w:type="dxa"/>
            <w:tcBorders>
              <w:top w:val="nil"/>
              <w:left w:val="single" w:sz="4" w:space="0" w:color="FFFFFF"/>
              <w:bottom w:val="single" w:sz="4" w:space="0" w:color="FFFFFF"/>
              <w:right w:val="single" w:sz="4" w:space="0" w:color="FFFFFF"/>
            </w:tcBorders>
            <w:noWrap/>
            <w:vAlign w:val="bottom"/>
            <w:hideMark/>
          </w:tcPr>
          <w:p w14:paraId="61767003" w14:textId="77777777" w:rsidR="00BB54E9" w:rsidRPr="00BB54E9" w:rsidRDefault="00BB54E9" w:rsidP="00BB54E9">
            <w:pPr>
              <w:spacing w:after="0"/>
              <w:rPr>
                <w:rFonts w:ascii="Calibri" w:hAnsi="Calibri" w:cs="Calibri"/>
              </w:rPr>
            </w:pPr>
            <w:bookmarkStart w:id="0" w:name="_Hlk193704618"/>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17B41CED" w14:textId="3AF17AD7" w:rsidR="00BB54E9" w:rsidRPr="00BB54E9" w:rsidRDefault="00BB54E9" w:rsidP="00BB54E9">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73C670E8" w14:textId="0933A3C3" w:rsidR="00BB54E9" w:rsidRPr="00BB54E9" w:rsidRDefault="00B81486" w:rsidP="00BB54E9">
            <w:pPr>
              <w:spacing w:after="0"/>
              <w:rPr>
                <w:rFonts w:ascii="Calibri" w:hAnsi="Calibri" w:cs="Calibri"/>
              </w:rPr>
            </w:pPr>
            <w:r>
              <w:rPr>
                <w:rFonts w:ascii="Calibri" w:hAnsi="Calibri" w:cs="Calibri"/>
              </w:rPr>
              <w:t xml:space="preserve">1101 </w:t>
            </w:r>
            <w:r w:rsidR="00F2242D">
              <w:rPr>
                <w:rFonts w:ascii="Calibri" w:hAnsi="Calibri" w:cs="Calibri"/>
              </w:rPr>
              <w:t>Australian</w:t>
            </w:r>
          </w:p>
        </w:tc>
      </w:tr>
      <w:bookmarkEnd w:id="0"/>
      <w:tr w:rsidR="00BB54E9" w:rsidRPr="00BB54E9" w14:paraId="152A9D72" w14:textId="77777777" w:rsidTr="00B84F65">
        <w:trPr>
          <w:gridBefore w:val="1"/>
          <w:wBefore w:w="113" w:type="dxa"/>
          <w:trHeight w:val="300"/>
        </w:trPr>
        <w:tc>
          <w:tcPr>
            <w:tcW w:w="1555" w:type="dxa"/>
            <w:tcBorders>
              <w:top w:val="nil"/>
              <w:left w:val="single" w:sz="4" w:space="0" w:color="FFFFFF"/>
              <w:bottom w:val="single" w:sz="4" w:space="0" w:color="FFFFFF"/>
              <w:right w:val="single" w:sz="4" w:space="0" w:color="FFFFFF"/>
            </w:tcBorders>
            <w:noWrap/>
            <w:vAlign w:val="bottom"/>
            <w:hideMark/>
          </w:tcPr>
          <w:p w14:paraId="0ABEE2D5" w14:textId="77777777" w:rsidR="00BB54E9" w:rsidRPr="00BB54E9" w:rsidRDefault="00BB54E9" w:rsidP="00BB54E9">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5810C990" w14:textId="59648437" w:rsidR="00BB54E9" w:rsidRPr="00BB54E9" w:rsidRDefault="00BB54E9" w:rsidP="00BB54E9">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17117E65" w14:textId="764B95B0" w:rsidR="00BB54E9" w:rsidRPr="00BB54E9" w:rsidRDefault="00B81486" w:rsidP="00BB54E9">
            <w:pPr>
              <w:spacing w:after="0"/>
              <w:rPr>
                <w:rFonts w:ascii="Calibri" w:hAnsi="Calibri" w:cs="Calibri"/>
              </w:rPr>
            </w:pPr>
            <w:r>
              <w:rPr>
                <w:rFonts w:ascii="Calibri" w:hAnsi="Calibri" w:cs="Calibri"/>
              </w:rPr>
              <w:t xml:space="preserve">1102 </w:t>
            </w:r>
            <w:r w:rsidR="00F2242D">
              <w:rPr>
                <w:rFonts w:ascii="Calibri" w:hAnsi="Calibri" w:cs="Calibri"/>
              </w:rPr>
              <w:t>Australian Aboriginal</w:t>
            </w:r>
          </w:p>
        </w:tc>
      </w:tr>
      <w:tr w:rsidR="00BB54E9" w:rsidRPr="00BB54E9" w14:paraId="20816814" w14:textId="77777777" w:rsidTr="00B84F65">
        <w:trPr>
          <w:gridBefore w:val="1"/>
          <w:wBefore w:w="113" w:type="dxa"/>
          <w:trHeight w:val="300"/>
        </w:trPr>
        <w:tc>
          <w:tcPr>
            <w:tcW w:w="1555" w:type="dxa"/>
            <w:tcBorders>
              <w:top w:val="nil"/>
              <w:left w:val="single" w:sz="4" w:space="0" w:color="FFFFFF"/>
              <w:bottom w:val="single" w:sz="4" w:space="0" w:color="FFFFFF"/>
              <w:right w:val="single" w:sz="4" w:space="0" w:color="FFFFFF"/>
            </w:tcBorders>
            <w:noWrap/>
            <w:vAlign w:val="bottom"/>
            <w:hideMark/>
          </w:tcPr>
          <w:p w14:paraId="1EE6CD19" w14:textId="77777777" w:rsidR="00BB54E9" w:rsidRPr="00BB54E9" w:rsidRDefault="00BB54E9" w:rsidP="00BB54E9">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1756F1C8" w14:textId="7525B44A" w:rsidR="00BB54E9" w:rsidRPr="00BB54E9" w:rsidRDefault="00BB54E9" w:rsidP="00BB54E9">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7D8633E2" w14:textId="22A1CDC7" w:rsidR="00BB54E9" w:rsidRPr="00BB54E9" w:rsidRDefault="00B81486" w:rsidP="00BB54E9">
            <w:pPr>
              <w:spacing w:after="0"/>
              <w:rPr>
                <w:rFonts w:ascii="Calibri" w:hAnsi="Calibri" w:cs="Calibri"/>
              </w:rPr>
            </w:pPr>
            <w:r>
              <w:rPr>
                <w:rFonts w:ascii="Calibri" w:hAnsi="Calibri" w:cs="Calibri"/>
              </w:rPr>
              <w:t xml:space="preserve">1103 </w:t>
            </w:r>
            <w:r w:rsidR="00F2242D">
              <w:rPr>
                <w:rFonts w:ascii="Calibri" w:hAnsi="Calibri" w:cs="Calibri"/>
              </w:rPr>
              <w:t>Australian South Sea Islander</w:t>
            </w:r>
          </w:p>
        </w:tc>
      </w:tr>
      <w:tr w:rsidR="00BB54E9" w:rsidRPr="00BB54E9" w14:paraId="4FB9861B" w14:textId="77777777" w:rsidTr="00B84F65">
        <w:trPr>
          <w:gridBefore w:val="1"/>
          <w:wBefore w:w="113" w:type="dxa"/>
          <w:trHeight w:val="300"/>
        </w:trPr>
        <w:tc>
          <w:tcPr>
            <w:tcW w:w="1555" w:type="dxa"/>
            <w:tcBorders>
              <w:top w:val="nil"/>
              <w:left w:val="single" w:sz="4" w:space="0" w:color="FFFFFF"/>
              <w:bottom w:val="single" w:sz="4" w:space="0" w:color="FFFFFF"/>
              <w:right w:val="single" w:sz="4" w:space="0" w:color="FFFFFF"/>
            </w:tcBorders>
            <w:noWrap/>
            <w:vAlign w:val="bottom"/>
            <w:hideMark/>
          </w:tcPr>
          <w:p w14:paraId="1F828E3A" w14:textId="77777777" w:rsidR="00BB54E9" w:rsidRPr="00BB54E9" w:rsidRDefault="00BB54E9" w:rsidP="00BB54E9">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6E96FB11" w14:textId="38663AE9" w:rsidR="00BB54E9" w:rsidRPr="00BB54E9" w:rsidRDefault="00BB54E9" w:rsidP="00BB54E9">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312ABDA1" w14:textId="18C12F11" w:rsidR="00BB54E9" w:rsidRPr="00BB54E9" w:rsidRDefault="00B81486" w:rsidP="00BB54E9">
            <w:pPr>
              <w:spacing w:after="0"/>
              <w:rPr>
                <w:rFonts w:ascii="Calibri" w:hAnsi="Calibri" w:cs="Calibri"/>
              </w:rPr>
            </w:pPr>
            <w:r>
              <w:rPr>
                <w:rFonts w:ascii="Calibri" w:hAnsi="Calibri" w:cs="Calibri"/>
              </w:rPr>
              <w:t xml:space="preserve">1104 </w:t>
            </w:r>
            <w:r w:rsidR="00F2242D">
              <w:rPr>
                <w:rFonts w:ascii="Calibri" w:hAnsi="Calibri" w:cs="Calibri"/>
              </w:rPr>
              <w:t>Torres Strait islander</w:t>
            </w:r>
          </w:p>
        </w:tc>
      </w:tr>
      <w:tr w:rsidR="00224DEA" w:rsidRPr="00BB54E9" w14:paraId="5844D9FA"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356CFBC6" w14:textId="16B4A4BB" w:rsidR="00224DEA" w:rsidRPr="00BB54E9" w:rsidRDefault="00224DEA" w:rsidP="00224DEA">
            <w:pPr>
              <w:spacing w:after="0"/>
              <w:rPr>
                <w:rFonts w:ascii="Calibri" w:hAnsi="Calibri" w:cs="Calibri"/>
              </w:rPr>
            </w:pPr>
          </w:p>
        </w:tc>
        <w:tc>
          <w:tcPr>
            <w:tcW w:w="2976" w:type="dxa"/>
            <w:tcBorders>
              <w:top w:val="single" w:sz="4" w:space="0" w:color="BFBFBF"/>
              <w:left w:val="nil"/>
              <w:bottom w:val="single" w:sz="4" w:space="0" w:color="auto"/>
              <w:right w:val="single" w:sz="4" w:space="0" w:color="FFFFFF"/>
            </w:tcBorders>
            <w:noWrap/>
            <w:vAlign w:val="bottom"/>
          </w:tcPr>
          <w:p w14:paraId="3103A616" w14:textId="77777777" w:rsidR="00224DEA" w:rsidRDefault="00224DEA" w:rsidP="00224DEA">
            <w:pPr>
              <w:spacing w:after="0"/>
              <w:rPr>
                <w:rFonts w:ascii="Calibri" w:hAnsi="Calibri" w:cs="Calibri"/>
              </w:rPr>
            </w:pPr>
          </w:p>
        </w:tc>
        <w:tc>
          <w:tcPr>
            <w:tcW w:w="5089" w:type="dxa"/>
            <w:gridSpan w:val="2"/>
            <w:tcBorders>
              <w:top w:val="single" w:sz="4" w:space="0" w:color="BFBFBF"/>
              <w:left w:val="nil"/>
              <w:bottom w:val="single" w:sz="4" w:space="0" w:color="auto"/>
              <w:right w:val="single" w:sz="4" w:space="0" w:color="FFFFFF"/>
            </w:tcBorders>
            <w:noWrap/>
            <w:vAlign w:val="bottom"/>
          </w:tcPr>
          <w:p w14:paraId="74075495" w14:textId="7C58CC15" w:rsidR="00224DEA" w:rsidRPr="00BB54E9" w:rsidRDefault="00224DEA" w:rsidP="00224DEA">
            <w:pPr>
              <w:spacing w:after="0"/>
              <w:rPr>
                <w:rFonts w:ascii="Calibri" w:hAnsi="Calibri" w:cs="Calibri"/>
              </w:rPr>
            </w:pPr>
            <w:r>
              <w:rPr>
                <w:rFonts w:ascii="Calibri" w:hAnsi="Calibri" w:cs="Calibri"/>
              </w:rPr>
              <w:t>1105 Norfolk Islander</w:t>
            </w:r>
          </w:p>
        </w:tc>
      </w:tr>
      <w:tr w:rsidR="0049268F" w:rsidRPr="00BB54E9" w14:paraId="11DEFDE4"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78652E6F" w14:textId="77777777" w:rsidR="0049268F" w:rsidRPr="00BB54E9" w:rsidRDefault="0049268F" w:rsidP="00224DEA">
            <w:pPr>
              <w:spacing w:after="0"/>
              <w:rPr>
                <w:rFonts w:ascii="Calibri" w:hAnsi="Calibri" w:cs="Calibri"/>
              </w:rPr>
            </w:pPr>
          </w:p>
        </w:tc>
        <w:tc>
          <w:tcPr>
            <w:tcW w:w="2976" w:type="dxa"/>
            <w:tcBorders>
              <w:top w:val="single" w:sz="4" w:space="0" w:color="BFBFBF"/>
              <w:left w:val="nil"/>
              <w:bottom w:val="single" w:sz="4" w:space="0" w:color="auto"/>
              <w:right w:val="single" w:sz="4" w:space="0" w:color="FFFFFF"/>
            </w:tcBorders>
            <w:noWrap/>
            <w:vAlign w:val="bottom"/>
          </w:tcPr>
          <w:p w14:paraId="5CB3427F" w14:textId="7E4F6231" w:rsidR="0049268F" w:rsidRDefault="0049268F" w:rsidP="00224DEA">
            <w:pPr>
              <w:spacing w:after="0"/>
              <w:rPr>
                <w:rFonts w:ascii="Calibri" w:hAnsi="Calibri" w:cs="Calibri"/>
              </w:rPr>
            </w:pPr>
            <w:r>
              <w:rPr>
                <w:rFonts w:ascii="Calibri" w:hAnsi="Calibri" w:cs="Calibri"/>
              </w:rPr>
              <w:t>12 New Zealand Peoples</w:t>
            </w:r>
          </w:p>
        </w:tc>
        <w:tc>
          <w:tcPr>
            <w:tcW w:w="5089" w:type="dxa"/>
            <w:gridSpan w:val="2"/>
            <w:tcBorders>
              <w:top w:val="single" w:sz="4" w:space="0" w:color="BFBFBF"/>
              <w:left w:val="nil"/>
              <w:bottom w:val="single" w:sz="4" w:space="0" w:color="auto"/>
              <w:right w:val="single" w:sz="4" w:space="0" w:color="FFFFFF"/>
            </w:tcBorders>
            <w:noWrap/>
            <w:vAlign w:val="bottom"/>
          </w:tcPr>
          <w:p w14:paraId="640AEACF" w14:textId="77777777" w:rsidR="0049268F" w:rsidRDefault="0049268F" w:rsidP="00224DEA">
            <w:pPr>
              <w:spacing w:after="0"/>
              <w:rPr>
                <w:rFonts w:ascii="Calibri" w:hAnsi="Calibri" w:cs="Calibri"/>
              </w:rPr>
            </w:pPr>
          </w:p>
        </w:tc>
      </w:tr>
      <w:tr w:rsidR="00B84F65" w:rsidRPr="00BB54E9" w14:paraId="20856989" w14:textId="77777777" w:rsidTr="00B84F65">
        <w:trPr>
          <w:trHeight w:val="300"/>
        </w:trPr>
        <w:tc>
          <w:tcPr>
            <w:tcW w:w="1668" w:type="dxa"/>
            <w:gridSpan w:val="2"/>
            <w:tcBorders>
              <w:top w:val="nil"/>
              <w:left w:val="single" w:sz="4" w:space="0" w:color="FFFFFF"/>
              <w:bottom w:val="single" w:sz="4" w:space="0" w:color="FFFFFF"/>
              <w:right w:val="single" w:sz="4" w:space="0" w:color="FFFFFF"/>
            </w:tcBorders>
            <w:noWrap/>
            <w:vAlign w:val="bottom"/>
            <w:hideMark/>
          </w:tcPr>
          <w:p w14:paraId="37C11CAE" w14:textId="77777777" w:rsidR="00B84F65" w:rsidRPr="00BB54E9" w:rsidRDefault="00B84F65" w:rsidP="00D217E6">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067614A2" w14:textId="77777777" w:rsidR="00B84F65" w:rsidRPr="00BB54E9" w:rsidRDefault="00B84F65" w:rsidP="00D217E6">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7B024105" w14:textId="18EA8346" w:rsidR="00B84F65" w:rsidRPr="00BB54E9" w:rsidRDefault="00B84F65" w:rsidP="00D217E6">
            <w:pPr>
              <w:spacing w:after="0"/>
              <w:rPr>
                <w:rFonts w:ascii="Calibri" w:hAnsi="Calibri" w:cs="Calibri"/>
              </w:rPr>
            </w:pPr>
            <w:r>
              <w:rPr>
                <w:rFonts w:ascii="Calibri" w:hAnsi="Calibri" w:cs="Calibri"/>
              </w:rPr>
              <w:t xml:space="preserve">1201 </w:t>
            </w:r>
            <w:proofErr w:type="spellStart"/>
            <w:r>
              <w:rPr>
                <w:rFonts w:ascii="Calibri" w:hAnsi="Calibri" w:cs="Calibri"/>
              </w:rPr>
              <w:t>Maori</w:t>
            </w:r>
            <w:proofErr w:type="spellEnd"/>
          </w:p>
        </w:tc>
      </w:tr>
      <w:tr w:rsidR="00B84F65" w:rsidRPr="00BB54E9" w14:paraId="5995A8C4" w14:textId="77777777" w:rsidTr="00B84F65">
        <w:trPr>
          <w:trHeight w:val="300"/>
        </w:trPr>
        <w:tc>
          <w:tcPr>
            <w:tcW w:w="1668" w:type="dxa"/>
            <w:gridSpan w:val="2"/>
            <w:tcBorders>
              <w:top w:val="nil"/>
              <w:left w:val="single" w:sz="4" w:space="0" w:color="FFFFFF"/>
              <w:bottom w:val="single" w:sz="4" w:space="0" w:color="FFFFFF"/>
              <w:right w:val="single" w:sz="4" w:space="0" w:color="FFFFFF"/>
            </w:tcBorders>
            <w:noWrap/>
            <w:vAlign w:val="bottom"/>
            <w:hideMark/>
          </w:tcPr>
          <w:p w14:paraId="7AFA36D4" w14:textId="77777777" w:rsidR="00B84F65" w:rsidRPr="00BB54E9" w:rsidRDefault="00B84F65" w:rsidP="00D217E6">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hideMark/>
          </w:tcPr>
          <w:p w14:paraId="6C165E58" w14:textId="77777777" w:rsidR="00B84F65" w:rsidRPr="00BB54E9" w:rsidRDefault="00B84F65" w:rsidP="00D217E6">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hideMark/>
          </w:tcPr>
          <w:p w14:paraId="312E5593" w14:textId="29D1F779" w:rsidR="00B84F65" w:rsidRPr="00BB54E9" w:rsidRDefault="00B84F65" w:rsidP="00D217E6">
            <w:pPr>
              <w:spacing w:after="0"/>
              <w:rPr>
                <w:rFonts w:ascii="Calibri" w:hAnsi="Calibri" w:cs="Calibri"/>
              </w:rPr>
            </w:pPr>
            <w:r>
              <w:rPr>
                <w:rFonts w:ascii="Calibri" w:hAnsi="Calibri" w:cs="Calibri"/>
              </w:rPr>
              <w:t>1202 New Zealander</w:t>
            </w:r>
          </w:p>
        </w:tc>
      </w:tr>
      <w:tr w:rsidR="00224DEA" w:rsidRPr="00BB54E9" w14:paraId="442AA504"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3A1B7726" w14:textId="1570EA57" w:rsidR="00224DEA" w:rsidRPr="00BB54E9" w:rsidRDefault="00224DEA" w:rsidP="00224DEA">
            <w:pPr>
              <w:spacing w:after="0"/>
              <w:rPr>
                <w:rFonts w:ascii="Calibri" w:hAnsi="Calibri" w:cs="Calibri"/>
              </w:rPr>
            </w:pPr>
            <w:r w:rsidRPr="00BB54E9">
              <w:rPr>
                <w:rFonts w:ascii="Calibri" w:hAnsi="Calibri" w:cs="Calibri"/>
              </w:rPr>
              <w:t> </w:t>
            </w:r>
          </w:p>
        </w:tc>
        <w:tc>
          <w:tcPr>
            <w:tcW w:w="2976" w:type="dxa"/>
            <w:tcBorders>
              <w:top w:val="single" w:sz="4" w:space="0" w:color="auto"/>
              <w:left w:val="nil"/>
              <w:bottom w:val="single" w:sz="4" w:space="0" w:color="auto"/>
              <w:right w:val="single" w:sz="4" w:space="0" w:color="FFFFFF"/>
            </w:tcBorders>
            <w:noWrap/>
            <w:vAlign w:val="bottom"/>
          </w:tcPr>
          <w:p w14:paraId="4AB6C047" w14:textId="7B56986D" w:rsidR="00224DEA" w:rsidRDefault="00224DEA" w:rsidP="00224DEA">
            <w:pPr>
              <w:spacing w:after="0"/>
              <w:rPr>
                <w:rFonts w:ascii="Calibri" w:hAnsi="Calibri" w:cs="Calibri"/>
              </w:rPr>
            </w:pPr>
            <w:r>
              <w:rPr>
                <w:rFonts w:ascii="Calibri" w:hAnsi="Calibri" w:cs="Calibri"/>
              </w:rPr>
              <w:t>13 Melanesian and Papuan</w:t>
            </w:r>
          </w:p>
        </w:tc>
        <w:tc>
          <w:tcPr>
            <w:tcW w:w="5089" w:type="dxa"/>
            <w:gridSpan w:val="2"/>
            <w:tcBorders>
              <w:top w:val="single" w:sz="4" w:space="0" w:color="auto"/>
              <w:left w:val="nil"/>
              <w:bottom w:val="single" w:sz="4" w:space="0" w:color="auto"/>
              <w:right w:val="single" w:sz="4" w:space="0" w:color="FFFFFF"/>
            </w:tcBorders>
            <w:noWrap/>
            <w:vAlign w:val="bottom"/>
          </w:tcPr>
          <w:p w14:paraId="5FFB3B9B" w14:textId="44228568" w:rsidR="00224DEA" w:rsidRDefault="00224DEA" w:rsidP="00224DEA">
            <w:pPr>
              <w:spacing w:after="0"/>
              <w:rPr>
                <w:rFonts w:ascii="Calibri" w:hAnsi="Calibri" w:cs="Calibri"/>
              </w:rPr>
            </w:pPr>
          </w:p>
        </w:tc>
      </w:tr>
      <w:tr w:rsidR="00224DEA" w:rsidRPr="00BB54E9" w14:paraId="6C5ABD7A"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2E1A6AA5" w14:textId="25ED2407" w:rsidR="00224DEA" w:rsidRPr="00BB54E9" w:rsidRDefault="00224DEA" w:rsidP="00224DEA">
            <w:pPr>
              <w:spacing w:after="0"/>
              <w:rPr>
                <w:rFonts w:ascii="Calibri" w:hAnsi="Calibri" w:cs="Calibri"/>
              </w:rPr>
            </w:pPr>
            <w:r w:rsidRPr="00BB54E9">
              <w:rPr>
                <w:rFonts w:ascii="Calibri" w:hAnsi="Calibri" w:cs="Calibri"/>
              </w:rPr>
              <w:t> </w:t>
            </w:r>
          </w:p>
        </w:tc>
        <w:tc>
          <w:tcPr>
            <w:tcW w:w="2976" w:type="dxa"/>
            <w:tcBorders>
              <w:top w:val="single" w:sz="4" w:space="0" w:color="auto"/>
              <w:left w:val="nil"/>
              <w:bottom w:val="single" w:sz="4" w:space="0" w:color="BFBFBF"/>
              <w:right w:val="single" w:sz="4" w:space="0" w:color="FFFFFF"/>
            </w:tcBorders>
            <w:noWrap/>
            <w:vAlign w:val="bottom"/>
          </w:tcPr>
          <w:p w14:paraId="467A0D2A" w14:textId="015969C9" w:rsidR="00224DEA" w:rsidRDefault="00224DEA" w:rsidP="00224DEA">
            <w:pPr>
              <w:spacing w:after="0"/>
              <w:rPr>
                <w:rFonts w:ascii="Calibri" w:hAnsi="Calibri" w:cs="Calibri"/>
              </w:rPr>
            </w:pPr>
          </w:p>
        </w:tc>
        <w:tc>
          <w:tcPr>
            <w:tcW w:w="5089" w:type="dxa"/>
            <w:gridSpan w:val="2"/>
            <w:tcBorders>
              <w:top w:val="single" w:sz="4" w:space="0" w:color="auto"/>
              <w:left w:val="nil"/>
              <w:bottom w:val="single" w:sz="4" w:space="0" w:color="BFBFBF"/>
              <w:right w:val="single" w:sz="4" w:space="0" w:color="FFFFFF"/>
            </w:tcBorders>
            <w:noWrap/>
            <w:vAlign w:val="bottom"/>
          </w:tcPr>
          <w:p w14:paraId="5357DA33" w14:textId="066C9B54" w:rsidR="00224DEA" w:rsidRDefault="00224DEA" w:rsidP="00224DEA">
            <w:pPr>
              <w:spacing w:after="0"/>
              <w:rPr>
                <w:rFonts w:ascii="Calibri" w:hAnsi="Calibri" w:cs="Calibri"/>
              </w:rPr>
            </w:pPr>
            <w:r>
              <w:rPr>
                <w:rFonts w:ascii="Calibri" w:hAnsi="Calibri" w:cs="Calibri"/>
              </w:rPr>
              <w:t>1301 New Caledonian</w:t>
            </w:r>
          </w:p>
        </w:tc>
      </w:tr>
      <w:tr w:rsidR="00224DEA" w:rsidRPr="00BB54E9" w14:paraId="79F5F51D"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19E9FCC6" w14:textId="28FFA8CD" w:rsidR="00224DEA" w:rsidRPr="00BB54E9" w:rsidRDefault="00224DEA" w:rsidP="00224DEA">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tcPr>
          <w:p w14:paraId="4092FAC4" w14:textId="77777777" w:rsidR="00224DEA" w:rsidRDefault="00224DEA" w:rsidP="00224DEA">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tcPr>
          <w:p w14:paraId="61AB0BF1" w14:textId="70BC649C" w:rsidR="00224DEA" w:rsidRDefault="00224DEA" w:rsidP="00224DEA">
            <w:pPr>
              <w:spacing w:after="0"/>
              <w:rPr>
                <w:rFonts w:ascii="Calibri" w:hAnsi="Calibri" w:cs="Calibri"/>
              </w:rPr>
            </w:pPr>
            <w:r>
              <w:rPr>
                <w:rFonts w:ascii="Calibri" w:hAnsi="Calibri" w:cs="Calibri"/>
              </w:rPr>
              <w:t>1302 Ni-Vanuatu</w:t>
            </w:r>
          </w:p>
        </w:tc>
      </w:tr>
      <w:tr w:rsidR="00224DEA" w:rsidRPr="00BB54E9" w14:paraId="4F5DBC5F"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7C89BCF4" w14:textId="17CFB816" w:rsidR="00224DEA" w:rsidRPr="00BB54E9" w:rsidRDefault="00224DEA" w:rsidP="00224DEA">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tcPr>
          <w:p w14:paraId="4B22DE31" w14:textId="77777777" w:rsidR="00224DEA" w:rsidRDefault="00224DEA" w:rsidP="00224DEA">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tcPr>
          <w:p w14:paraId="13B2D9E4" w14:textId="2FB116EE" w:rsidR="00224DEA" w:rsidRDefault="00224DEA" w:rsidP="00224DEA">
            <w:pPr>
              <w:spacing w:after="0"/>
              <w:rPr>
                <w:rFonts w:ascii="Calibri" w:hAnsi="Calibri" w:cs="Calibri"/>
              </w:rPr>
            </w:pPr>
            <w:r>
              <w:rPr>
                <w:rFonts w:ascii="Calibri" w:hAnsi="Calibri" w:cs="Calibri"/>
              </w:rPr>
              <w:t>1303 Papua New Guinean</w:t>
            </w:r>
          </w:p>
        </w:tc>
      </w:tr>
      <w:tr w:rsidR="00224DEA" w:rsidRPr="00BB54E9" w14:paraId="1112D74A" w14:textId="77777777" w:rsidTr="00B84F65">
        <w:trPr>
          <w:gridBefore w:val="1"/>
          <w:wBefore w:w="113" w:type="dxa"/>
          <w:trHeight w:val="305"/>
        </w:trPr>
        <w:tc>
          <w:tcPr>
            <w:tcW w:w="1555" w:type="dxa"/>
            <w:tcBorders>
              <w:top w:val="nil"/>
              <w:left w:val="single" w:sz="4" w:space="0" w:color="FFFFFF"/>
              <w:bottom w:val="single" w:sz="4" w:space="0" w:color="FFFFFF"/>
              <w:right w:val="single" w:sz="4" w:space="0" w:color="FFFFFF"/>
            </w:tcBorders>
            <w:noWrap/>
            <w:vAlign w:val="bottom"/>
          </w:tcPr>
          <w:p w14:paraId="09FDBD8E" w14:textId="3800BAB7" w:rsidR="00224DEA" w:rsidRPr="00BB54E9" w:rsidRDefault="00224DEA" w:rsidP="00224DEA">
            <w:pPr>
              <w:spacing w:after="0"/>
              <w:rPr>
                <w:rFonts w:ascii="Calibri" w:hAnsi="Calibri" w:cs="Calibri"/>
              </w:rPr>
            </w:pPr>
            <w:r w:rsidRPr="00BB54E9">
              <w:rPr>
                <w:rFonts w:ascii="Calibri" w:hAnsi="Calibri" w:cs="Calibri"/>
              </w:rPr>
              <w:t> </w:t>
            </w:r>
          </w:p>
        </w:tc>
        <w:tc>
          <w:tcPr>
            <w:tcW w:w="2976" w:type="dxa"/>
            <w:tcBorders>
              <w:top w:val="nil"/>
              <w:left w:val="nil"/>
              <w:bottom w:val="single" w:sz="4" w:space="0" w:color="BFBFBF"/>
              <w:right w:val="single" w:sz="4" w:space="0" w:color="FFFFFF"/>
            </w:tcBorders>
            <w:noWrap/>
            <w:vAlign w:val="bottom"/>
          </w:tcPr>
          <w:p w14:paraId="665DB07F" w14:textId="77777777" w:rsidR="00224DEA" w:rsidRDefault="00224DEA" w:rsidP="00224DEA">
            <w:pPr>
              <w:spacing w:after="0"/>
              <w:rPr>
                <w:rFonts w:ascii="Calibri" w:hAnsi="Calibri" w:cs="Calibri"/>
              </w:rPr>
            </w:pPr>
          </w:p>
        </w:tc>
        <w:tc>
          <w:tcPr>
            <w:tcW w:w="5089" w:type="dxa"/>
            <w:gridSpan w:val="2"/>
            <w:tcBorders>
              <w:top w:val="nil"/>
              <w:left w:val="nil"/>
              <w:bottom w:val="single" w:sz="4" w:space="0" w:color="BFBFBF"/>
              <w:right w:val="single" w:sz="4" w:space="0" w:color="FFFFFF"/>
            </w:tcBorders>
            <w:noWrap/>
            <w:vAlign w:val="bottom"/>
          </w:tcPr>
          <w:p w14:paraId="3348F604" w14:textId="2D7D2E41" w:rsidR="00224DEA" w:rsidRDefault="00224DEA" w:rsidP="00224DEA">
            <w:pPr>
              <w:spacing w:after="0"/>
              <w:rPr>
                <w:rFonts w:ascii="Calibri" w:hAnsi="Calibri" w:cs="Calibri"/>
              </w:rPr>
            </w:pPr>
            <w:r>
              <w:rPr>
                <w:rFonts w:ascii="Calibri" w:hAnsi="Calibri" w:cs="Calibri"/>
              </w:rPr>
              <w:t>1304 Solomon Islander</w:t>
            </w:r>
          </w:p>
        </w:tc>
      </w:tr>
      <w:tr w:rsidR="00224DEA" w:rsidRPr="00BB54E9" w14:paraId="155CCBB4" w14:textId="77777777" w:rsidTr="00B84F65">
        <w:trPr>
          <w:gridBefore w:val="1"/>
          <w:wBefore w:w="113" w:type="dxa"/>
          <w:trHeight w:val="305"/>
        </w:trPr>
        <w:tc>
          <w:tcPr>
            <w:tcW w:w="1555" w:type="dxa"/>
            <w:tcBorders>
              <w:top w:val="single" w:sz="4" w:space="0" w:color="FFFFFF"/>
              <w:left w:val="single" w:sz="4" w:space="0" w:color="FFFFFF"/>
              <w:bottom w:val="single" w:sz="4" w:space="0" w:color="auto"/>
              <w:right w:val="single" w:sz="4" w:space="0" w:color="FFFFFF"/>
            </w:tcBorders>
            <w:noWrap/>
            <w:vAlign w:val="bottom"/>
          </w:tcPr>
          <w:p w14:paraId="172C54CD" w14:textId="77777777" w:rsidR="00224DEA" w:rsidRPr="00BB54E9" w:rsidRDefault="00224DEA" w:rsidP="00224DEA">
            <w:pPr>
              <w:spacing w:after="0"/>
              <w:rPr>
                <w:rFonts w:ascii="Calibri" w:hAnsi="Calibri" w:cs="Calibri"/>
              </w:rPr>
            </w:pPr>
          </w:p>
        </w:tc>
        <w:tc>
          <w:tcPr>
            <w:tcW w:w="2976" w:type="dxa"/>
            <w:tcBorders>
              <w:top w:val="nil"/>
              <w:left w:val="nil"/>
              <w:bottom w:val="single" w:sz="4" w:space="0" w:color="auto"/>
              <w:right w:val="single" w:sz="4" w:space="0" w:color="FFFFFF"/>
            </w:tcBorders>
            <w:noWrap/>
            <w:vAlign w:val="bottom"/>
          </w:tcPr>
          <w:p w14:paraId="1ABDF14D" w14:textId="77777777" w:rsidR="00224DEA" w:rsidRDefault="00224DEA" w:rsidP="00224DEA">
            <w:pPr>
              <w:spacing w:after="0"/>
              <w:rPr>
                <w:rFonts w:ascii="Calibri" w:hAnsi="Calibri" w:cs="Calibri"/>
              </w:rPr>
            </w:pPr>
          </w:p>
        </w:tc>
        <w:tc>
          <w:tcPr>
            <w:tcW w:w="5089" w:type="dxa"/>
            <w:gridSpan w:val="2"/>
            <w:tcBorders>
              <w:top w:val="nil"/>
              <w:left w:val="nil"/>
              <w:bottom w:val="single" w:sz="4" w:space="0" w:color="auto"/>
              <w:right w:val="single" w:sz="4" w:space="0" w:color="FFFFFF"/>
            </w:tcBorders>
            <w:noWrap/>
            <w:vAlign w:val="bottom"/>
          </w:tcPr>
          <w:p w14:paraId="03DECCA0" w14:textId="307CA5EC" w:rsidR="00224DEA" w:rsidRDefault="00224DEA" w:rsidP="00224DEA">
            <w:pPr>
              <w:spacing w:after="0"/>
              <w:rPr>
                <w:rFonts w:ascii="Calibri" w:hAnsi="Calibri" w:cs="Calibri"/>
              </w:rPr>
            </w:pPr>
            <w:r>
              <w:rPr>
                <w:rFonts w:ascii="Calibri" w:hAnsi="Calibri" w:cs="Calibri"/>
              </w:rPr>
              <w:t>1399 Melanesian and Papuan, nec</w:t>
            </w:r>
          </w:p>
        </w:tc>
      </w:tr>
    </w:tbl>
    <w:p w14:paraId="5A097E4D" w14:textId="77777777" w:rsidR="00BB54E9" w:rsidRDefault="00BB54E9" w:rsidP="00A9067F">
      <w:pPr>
        <w:rPr>
          <w:rFonts w:ascii="Calibri" w:hAnsi="Calibri" w:cs="Calibri"/>
        </w:rPr>
      </w:pPr>
    </w:p>
    <w:p w14:paraId="4B6A8CC3" w14:textId="77777777" w:rsidR="008813FB" w:rsidRPr="00773144" w:rsidRDefault="008813FB" w:rsidP="008813FB">
      <w:pPr>
        <w:autoSpaceDE w:val="0"/>
        <w:autoSpaceDN w:val="0"/>
        <w:adjustRightInd w:val="0"/>
        <w:spacing w:after="0" w:line="240" w:lineRule="auto"/>
        <w:rPr>
          <w:rFonts w:cstheme="minorHAnsi"/>
          <w:b/>
          <w:bCs/>
          <w:color w:val="000000"/>
        </w:rPr>
      </w:pPr>
      <w:r w:rsidRPr="00773144">
        <w:rPr>
          <w:rFonts w:cstheme="minorHAnsi"/>
          <w:b/>
          <w:bCs/>
          <w:color w:val="000000"/>
        </w:rPr>
        <w:t>How i</w:t>
      </w:r>
      <w:r>
        <w:rPr>
          <w:rFonts w:cstheme="minorHAnsi"/>
          <w:b/>
          <w:bCs/>
          <w:color w:val="000000"/>
        </w:rPr>
        <w:t>s</w:t>
      </w:r>
      <w:r w:rsidRPr="00773144">
        <w:rPr>
          <w:rFonts w:cstheme="minorHAnsi"/>
          <w:b/>
          <w:bCs/>
          <w:color w:val="000000"/>
        </w:rPr>
        <w:t xml:space="preserve"> </w:t>
      </w:r>
      <w:r>
        <w:rPr>
          <w:rFonts w:cstheme="minorHAnsi"/>
          <w:b/>
          <w:bCs/>
          <w:color w:val="000000"/>
        </w:rPr>
        <w:t>Ethnicity</w:t>
      </w:r>
      <w:r w:rsidRPr="00773144">
        <w:rPr>
          <w:rFonts w:cstheme="minorHAnsi"/>
          <w:b/>
          <w:bCs/>
          <w:color w:val="000000"/>
        </w:rPr>
        <w:t xml:space="preserve"> defined?</w:t>
      </w:r>
    </w:p>
    <w:p w14:paraId="51A6E5B0" w14:textId="77777777" w:rsidR="008813FB" w:rsidRDefault="008813FB" w:rsidP="008813FB">
      <w:pPr>
        <w:rPr>
          <w:rFonts w:cstheme="minorHAnsi"/>
        </w:rPr>
      </w:pPr>
      <w:r>
        <w:rPr>
          <w:rFonts w:cstheme="minorHAnsi"/>
        </w:rPr>
        <w:t>For the purposes of the ASCCEG, ‘ethnicity’ refers to the shared identity or similarity of a group of people based on one or more distinguishing characteristics. These characteristics include:</w:t>
      </w:r>
    </w:p>
    <w:p w14:paraId="0AC66A68" w14:textId="3852F366" w:rsidR="008813FB" w:rsidRDefault="008813FB" w:rsidP="008813FB">
      <w:pPr>
        <w:pStyle w:val="ListParagraph"/>
        <w:numPr>
          <w:ilvl w:val="0"/>
          <w:numId w:val="1"/>
        </w:numPr>
        <w:rPr>
          <w:rFonts w:cstheme="minorHAnsi"/>
        </w:rPr>
      </w:pPr>
      <w:r>
        <w:rPr>
          <w:rFonts w:cstheme="minorHAnsi"/>
        </w:rPr>
        <w:t xml:space="preserve">A </w:t>
      </w:r>
      <w:proofErr w:type="gramStart"/>
      <w:r>
        <w:rPr>
          <w:rFonts w:cstheme="minorHAnsi"/>
        </w:rPr>
        <w:t>long shared</w:t>
      </w:r>
      <w:proofErr w:type="gramEnd"/>
      <w:r>
        <w:rPr>
          <w:rFonts w:cstheme="minorHAnsi"/>
        </w:rPr>
        <w:t xml:space="preserve"> history, the memory of which is kept alive</w:t>
      </w:r>
      <w:r w:rsidR="00240D19">
        <w:rPr>
          <w:rFonts w:cstheme="minorHAnsi"/>
        </w:rPr>
        <w:t>.</w:t>
      </w:r>
    </w:p>
    <w:p w14:paraId="78ECC69C" w14:textId="516A9FCE" w:rsidR="008813FB" w:rsidRDefault="008813FB" w:rsidP="008813FB">
      <w:pPr>
        <w:pStyle w:val="ListParagraph"/>
        <w:numPr>
          <w:ilvl w:val="0"/>
          <w:numId w:val="1"/>
        </w:numPr>
        <w:rPr>
          <w:rFonts w:cstheme="minorHAnsi"/>
        </w:rPr>
      </w:pPr>
      <w:r>
        <w:rPr>
          <w:rFonts w:cstheme="minorHAnsi"/>
        </w:rPr>
        <w:t>A cultural tradition, including family and social customs, sometimes religiously base</w:t>
      </w:r>
      <w:r w:rsidR="00C4393F">
        <w:rPr>
          <w:rFonts w:cstheme="minorHAnsi"/>
        </w:rPr>
        <w:t>d.</w:t>
      </w:r>
    </w:p>
    <w:p w14:paraId="2E8C3CAB" w14:textId="635D5A7C" w:rsidR="008813FB" w:rsidRDefault="008813FB" w:rsidP="008813FB">
      <w:pPr>
        <w:pStyle w:val="ListParagraph"/>
        <w:numPr>
          <w:ilvl w:val="0"/>
          <w:numId w:val="1"/>
        </w:numPr>
        <w:rPr>
          <w:rFonts w:cstheme="minorHAnsi"/>
        </w:rPr>
      </w:pPr>
      <w:r>
        <w:rPr>
          <w:rFonts w:cstheme="minorHAnsi"/>
        </w:rPr>
        <w:t>A common geographic origin</w:t>
      </w:r>
      <w:r w:rsidR="00240D19">
        <w:rPr>
          <w:rFonts w:cstheme="minorHAnsi"/>
        </w:rPr>
        <w:t>.</w:t>
      </w:r>
    </w:p>
    <w:p w14:paraId="55003879" w14:textId="0F65326C" w:rsidR="008813FB" w:rsidRDefault="008813FB" w:rsidP="008813FB">
      <w:pPr>
        <w:pStyle w:val="ListParagraph"/>
        <w:numPr>
          <w:ilvl w:val="0"/>
          <w:numId w:val="1"/>
        </w:numPr>
        <w:rPr>
          <w:rFonts w:cstheme="minorHAnsi"/>
        </w:rPr>
      </w:pPr>
      <w:r>
        <w:rPr>
          <w:rFonts w:cstheme="minorHAnsi"/>
        </w:rPr>
        <w:t>A common language (but not necessarily limited to that group)</w:t>
      </w:r>
      <w:r w:rsidR="00240D19">
        <w:rPr>
          <w:rFonts w:cstheme="minorHAnsi"/>
        </w:rPr>
        <w:t>.</w:t>
      </w:r>
    </w:p>
    <w:p w14:paraId="3673C669" w14:textId="2B6048F0" w:rsidR="00DF2D6E" w:rsidRDefault="00DF2D6E" w:rsidP="008813FB">
      <w:pPr>
        <w:pStyle w:val="ListParagraph"/>
        <w:numPr>
          <w:ilvl w:val="0"/>
          <w:numId w:val="1"/>
        </w:numPr>
        <w:rPr>
          <w:rFonts w:cstheme="minorHAnsi"/>
        </w:rPr>
      </w:pPr>
      <w:r>
        <w:rPr>
          <w:rFonts w:cstheme="minorHAnsi"/>
        </w:rPr>
        <w:t>A common literature (written or oral).</w:t>
      </w:r>
    </w:p>
    <w:p w14:paraId="04835752" w14:textId="384C17E0" w:rsidR="008813FB" w:rsidRDefault="008813FB" w:rsidP="008813FB">
      <w:pPr>
        <w:pStyle w:val="ListParagraph"/>
        <w:numPr>
          <w:ilvl w:val="0"/>
          <w:numId w:val="1"/>
        </w:numPr>
        <w:rPr>
          <w:rFonts w:cstheme="minorHAnsi"/>
        </w:rPr>
      </w:pPr>
      <w:r>
        <w:rPr>
          <w:rFonts w:cstheme="minorHAnsi"/>
        </w:rPr>
        <w:t>A common religion</w:t>
      </w:r>
      <w:r w:rsidR="00240D19">
        <w:rPr>
          <w:rFonts w:cstheme="minorHAnsi"/>
        </w:rPr>
        <w:t>.</w:t>
      </w:r>
    </w:p>
    <w:p w14:paraId="3DB9A4B4" w14:textId="5A3CC085" w:rsidR="008813FB" w:rsidRDefault="008813FB" w:rsidP="008813FB">
      <w:pPr>
        <w:pStyle w:val="ListParagraph"/>
        <w:numPr>
          <w:ilvl w:val="0"/>
          <w:numId w:val="1"/>
        </w:numPr>
        <w:rPr>
          <w:rFonts w:cstheme="minorHAnsi"/>
        </w:rPr>
      </w:pPr>
      <w:r>
        <w:rPr>
          <w:rFonts w:cstheme="minorHAnsi"/>
        </w:rPr>
        <w:t>Being a minority (often with a sense of being oppressed)</w:t>
      </w:r>
      <w:r w:rsidR="00240D19">
        <w:rPr>
          <w:rFonts w:cstheme="minorHAnsi"/>
        </w:rPr>
        <w:t>.</w:t>
      </w:r>
    </w:p>
    <w:p w14:paraId="6F6859F8" w14:textId="14E3BF8A" w:rsidR="00CC7C72" w:rsidRPr="007B012E" w:rsidRDefault="008813FB" w:rsidP="007B012E">
      <w:pPr>
        <w:pStyle w:val="ListParagraph"/>
        <w:numPr>
          <w:ilvl w:val="0"/>
          <w:numId w:val="1"/>
        </w:numPr>
        <w:rPr>
          <w:rFonts w:cstheme="minorHAnsi"/>
          <w:b/>
          <w:bCs/>
        </w:rPr>
      </w:pPr>
      <w:r>
        <w:rPr>
          <w:rFonts w:cstheme="minorHAnsi"/>
        </w:rPr>
        <w:t>Being racially conspicuous.</w:t>
      </w:r>
    </w:p>
    <w:p w14:paraId="332F8C2E" w14:textId="02180238" w:rsidR="00CC7C72" w:rsidRPr="00310AB9" w:rsidRDefault="00CC7C72" w:rsidP="00CC7C72">
      <w:pPr>
        <w:spacing w:after="0"/>
        <w:rPr>
          <w:lang w:eastAsia="en-AU"/>
        </w:rPr>
      </w:pPr>
      <w:r w:rsidRPr="007F1BDC">
        <w:rPr>
          <w:rFonts w:cstheme="minorHAnsi"/>
          <w:b/>
          <w:bCs/>
          <w:color w:val="000000"/>
        </w:rPr>
        <w:t xml:space="preserve">What </w:t>
      </w:r>
      <w:r>
        <w:rPr>
          <w:rFonts w:cstheme="minorHAnsi"/>
          <w:b/>
          <w:bCs/>
          <w:color w:val="000000"/>
        </w:rPr>
        <w:t>is</w:t>
      </w:r>
      <w:r w:rsidRPr="007F1BDC">
        <w:rPr>
          <w:rFonts w:cstheme="minorHAnsi"/>
          <w:b/>
          <w:bCs/>
          <w:color w:val="000000"/>
        </w:rPr>
        <w:t xml:space="preserve"> the</w:t>
      </w:r>
      <w:r>
        <w:rPr>
          <w:rFonts w:cstheme="minorHAnsi"/>
          <w:b/>
          <w:bCs/>
          <w:color w:val="000000"/>
        </w:rPr>
        <w:t xml:space="preserve"> Ancestry Standard</w:t>
      </w:r>
      <w:r w:rsidRPr="007F1BDC">
        <w:rPr>
          <w:rFonts w:cstheme="minorHAnsi"/>
          <w:b/>
          <w:bCs/>
          <w:color w:val="000000"/>
        </w:rPr>
        <w:t>?</w:t>
      </w:r>
    </w:p>
    <w:p w14:paraId="47F14472" w14:textId="1E8173A0" w:rsidR="00C266FF" w:rsidRDefault="007236D0" w:rsidP="00CC7C72">
      <w:r w:rsidRPr="007236D0">
        <w:t xml:space="preserve">The Ancestry standard (the </w:t>
      </w:r>
      <w:r>
        <w:t xml:space="preserve">Ancestry </w:t>
      </w:r>
      <w:r w:rsidRPr="007236D0">
        <w:t>question asked in the Census) measures an association with ethnic and cultural groups which do not equate to countries or languages</w:t>
      </w:r>
      <w:r>
        <w:t xml:space="preserve">. </w:t>
      </w:r>
      <w:r w:rsidR="00D860E0">
        <w:rPr>
          <w:rFonts w:cstheme="minorHAnsi"/>
          <w:color w:val="000000"/>
        </w:rPr>
        <w:t xml:space="preserve">The ABS uses the ASCCEG to collect, aggregate and disseminate data relating to the Ancestry </w:t>
      </w:r>
      <w:r w:rsidR="00DD58EA">
        <w:rPr>
          <w:rFonts w:cstheme="minorHAnsi"/>
          <w:color w:val="000000"/>
        </w:rPr>
        <w:t>question.</w:t>
      </w:r>
    </w:p>
    <w:p w14:paraId="1211288E" w14:textId="62741395" w:rsidR="00351692" w:rsidRDefault="00CC7C72" w:rsidP="00CC7C72">
      <w:pPr>
        <w:rPr>
          <w:rFonts w:cstheme="minorHAnsi"/>
        </w:rPr>
      </w:pPr>
      <w:hyperlink r:id="rId7" w:history="1">
        <w:r w:rsidRPr="004A2858">
          <w:rPr>
            <w:rStyle w:val="Hyperlink"/>
            <w:rFonts w:cstheme="minorHAnsi"/>
            <w:color w:val="0070C0"/>
          </w:rPr>
          <w:t>Ancestry</w:t>
        </w:r>
      </w:hyperlink>
      <w:r>
        <w:rPr>
          <w:rFonts w:cstheme="minorHAnsi"/>
          <w:color w:val="000000"/>
        </w:rPr>
        <w:t xml:space="preserve"> describes the cultural heritage </w:t>
      </w:r>
      <w:r w:rsidR="009C186D">
        <w:rPr>
          <w:rFonts w:cstheme="minorHAnsi"/>
          <w:color w:val="000000"/>
        </w:rPr>
        <w:t xml:space="preserve">or ethnic origin </w:t>
      </w:r>
      <w:r>
        <w:rPr>
          <w:rFonts w:cstheme="minorHAnsi"/>
          <w:color w:val="000000"/>
        </w:rPr>
        <w:t xml:space="preserve">a person identifies with or to which a person’s forebears are attached. </w:t>
      </w:r>
      <w:r w:rsidR="00E97E93">
        <w:rPr>
          <w:rFonts w:cstheme="minorHAnsi"/>
          <w:color w:val="000000"/>
        </w:rPr>
        <w:t xml:space="preserve">Ancestry is </w:t>
      </w:r>
      <w:r w:rsidR="00DE383D">
        <w:rPr>
          <w:rFonts w:cstheme="minorHAnsi"/>
          <w:color w:val="000000"/>
        </w:rPr>
        <w:t xml:space="preserve">part of the suite </w:t>
      </w:r>
      <w:r w:rsidR="00200AA6">
        <w:rPr>
          <w:rFonts w:cstheme="minorHAnsi"/>
          <w:color w:val="000000"/>
        </w:rPr>
        <w:t xml:space="preserve">of </w:t>
      </w:r>
      <w:hyperlink r:id="rId8" w:history="1">
        <w:r w:rsidR="00E97E93" w:rsidRPr="004A2858">
          <w:rPr>
            <w:rStyle w:val="Hyperlink"/>
            <w:rFonts w:cstheme="minorHAnsi"/>
            <w:color w:val="0070C0"/>
          </w:rPr>
          <w:t>Standards for Statistics on Cultural and Language Diversity</w:t>
        </w:r>
      </w:hyperlink>
      <w:r w:rsidR="00E97E93">
        <w:rPr>
          <w:rFonts w:cstheme="minorHAnsi"/>
          <w:color w:val="000000"/>
        </w:rPr>
        <w:t xml:space="preserve"> (SSCLD).</w:t>
      </w:r>
      <w:r w:rsidR="0028653C">
        <w:rPr>
          <w:rFonts w:cstheme="minorHAnsi"/>
          <w:color w:val="000000"/>
        </w:rPr>
        <w:t xml:space="preserve"> Th</w:t>
      </w:r>
      <w:r w:rsidR="00DE383D">
        <w:rPr>
          <w:rFonts w:cstheme="minorHAnsi"/>
          <w:color w:val="000000"/>
        </w:rPr>
        <w:t>is</w:t>
      </w:r>
      <w:r w:rsidR="00902760">
        <w:rPr>
          <w:rFonts w:cstheme="minorHAnsi"/>
          <w:color w:val="000000"/>
        </w:rPr>
        <w:t xml:space="preserve"> </w:t>
      </w:r>
      <w:r w:rsidR="0028653C">
        <w:rPr>
          <w:rFonts w:cstheme="minorHAnsi"/>
          <w:color w:val="000000"/>
        </w:rPr>
        <w:t>framework</w:t>
      </w:r>
      <w:r w:rsidR="00DE383D">
        <w:rPr>
          <w:rFonts w:cstheme="minorHAnsi"/>
          <w:color w:val="000000"/>
        </w:rPr>
        <w:t xml:space="preserve"> was</w:t>
      </w:r>
      <w:r w:rsidR="0028653C">
        <w:rPr>
          <w:rFonts w:cstheme="minorHAnsi"/>
          <w:color w:val="000000"/>
        </w:rPr>
        <w:t xml:space="preserve"> designed and developed by the ABS in collaboration with other organisations to support a national</w:t>
      </w:r>
      <w:r w:rsidR="00902760">
        <w:rPr>
          <w:rFonts w:cstheme="minorHAnsi"/>
          <w:color w:val="000000"/>
        </w:rPr>
        <w:t>ly</w:t>
      </w:r>
      <w:r w:rsidR="0028653C">
        <w:rPr>
          <w:rFonts w:cstheme="minorHAnsi"/>
          <w:color w:val="000000"/>
        </w:rPr>
        <w:t xml:space="preserve"> consistent approach for the collection and dissemination of data on cultural and language diversity.</w:t>
      </w:r>
      <w:r w:rsidR="00275B6C" w:rsidRPr="00275B6C">
        <w:rPr>
          <w:rFonts w:cstheme="minorHAnsi"/>
        </w:rPr>
        <w:t xml:space="preserve"> </w:t>
      </w:r>
    </w:p>
    <w:p w14:paraId="5D69D404" w14:textId="2C270D31" w:rsidR="00CC7C72" w:rsidRDefault="00275B6C" w:rsidP="00275B6C">
      <w:pPr>
        <w:rPr>
          <w:rFonts w:cstheme="minorHAnsi"/>
          <w:b/>
          <w:bCs/>
        </w:rPr>
      </w:pPr>
      <w:r>
        <w:rPr>
          <w:rFonts w:cstheme="minorHAnsi"/>
        </w:rPr>
        <w:t xml:space="preserve">Following the </w:t>
      </w:r>
      <w:r w:rsidR="007355F9">
        <w:rPr>
          <w:rFonts w:cstheme="minorHAnsi"/>
        </w:rPr>
        <w:t xml:space="preserve">outcome of the </w:t>
      </w:r>
      <w:hyperlink r:id="rId9" w:history="1">
        <w:r w:rsidRPr="004A2858">
          <w:rPr>
            <w:rStyle w:val="Hyperlink"/>
            <w:rFonts w:cstheme="minorHAnsi"/>
            <w:color w:val="0070C0"/>
          </w:rPr>
          <w:t>2026 Census topic review</w:t>
        </w:r>
      </w:hyperlink>
      <w:r>
        <w:rPr>
          <w:rFonts w:cstheme="minorHAnsi"/>
        </w:rPr>
        <w:t>, the ABS will increase the number of collected ancestries from two to four to better reflect the cultural diversity of the Australian population.</w:t>
      </w:r>
    </w:p>
    <w:p w14:paraId="7348F3A4" w14:textId="40DEBFA7" w:rsidR="003D0376" w:rsidRDefault="003D0376" w:rsidP="003D0376">
      <w:pPr>
        <w:autoSpaceDE w:val="0"/>
        <w:autoSpaceDN w:val="0"/>
        <w:adjustRightInd w:val="0"/>
        <w:spacing w:after="0" w:line="240" w:lineRule="auto"/>
        <w:rPr>
          <w:rFonts w:cstheme="minorHAnsi"/>
        </w:rPr>
      </w:pPr>
      <w:r w:rsidRPr="00AB1A6E">
        <w:rPr>
          <w:rFonts w:cstheme="minorHAnsi"/>
          <w:b/>
          <w:bCs/>
        </w:rPr>
        <w:t>Why does the ASC</w:t>
      </w:r>
      <w:r>
        <w:rPr>
          <w:rFonts w:cstheme="minorHAnsi"/>
          <w:b/>
          <w:bCs/>
        </w:rPr>
        <w:t>CEG</w:t>
      </w:r>
      <w:r w:rsidRPr="00AB1A6E">
        <w:rPr>
          <w:rFonts w:cstheme="minorHAnsi"/>
          <w:b/>
          <w:bCs/>
        </w:rPr>
        <w:t xml:space="preserve"> need to be updated?</w:t>
      </w:r>
    </w:p>
    <w:p w14:paraId="57763138" w14:textId="474D11F7" w:rsidR="00A92CB4" w:rsidRDefault="00C52FCD" w:rsidP="003D0376">
      <w:pPr>
        <w:rPr>
          <w:rFonts w:cstheme="minorHAnsi"/>
        </w:rPr>
      </w:pPr>
      <w:r>
        <w:rPr>
          <w:rFonts w:cstheme="minorHAnsi"/>
        </w:rPr>
        <w:t xml:space="preserve">While the current version of ASCCEG had minor updates </w:t>
      </w:r>
      <w:r w:rsidR="00622EE1">
        <w:rPr>
          <w:rFonts w:cstheme="minorHAnsi"/>
        </w:rPr>
        <w:t xml:space="preserve">in </w:t>
      </w:r>
      <w:r>
        <w:rPr>
          <w:rFonts w:cstheme="minorHAnsi"/>
        </w:rPr>
        <w:t xml:space="preserve">2005, 2011, 2016 and 2019, it </w:t>
      </w:r>
      <w:r w:rsidR="00EB0292">
        <w:rPr>
          <w:rFonts w:cstheme="minorHAnsi"/>
        </w:rPr>
        <w:t xml:space="preserve">mainly </w:t>
      </w:r>
      <w:r>
        <w:rPr>
          <w:rFonts w:cstheme="minorHAnsi"/>
        </w:rPr>
        <w:t xml:space="preserve">reflects the </w:t>
      </w:r>
      <w:r w:rsidR="00EB0292">
        <w:rPr>
          <w:rFonts w:cstheme="minorHAnsi"/>
        </w:rPr>
        <w:t xml:space="preserve">Australian </w:t>
      </w:r>
      <w:r>
        <w:rPr>
          <w:rFonts w:cstheme="minorHAnsi"/>
        </w:rPr>
        <w:t xml:space="preserve">cultural and ethnic diversity </w:t>
      </w:r>
      <w:r w:rsidR="00120BA1">
        <w:rPr>
          <w:rFonts w:cstheme="minorHAnsi"/>
        </w:rPr>
        <w:t>at the time it was first published (</w:t>
      </w:r>
      <w:r w:rsidR="00EB0292">
        <w:rPr>
          <w:rFonts w:cstheme="minorHAnsi"/>
        </w:rPr>
        <w:t>2000</w:t>
      </w:r>
      <w:r w:rsidR="00120BA1">
        <w:rPr>
          <w:rFonts w:cstheme="minorHAnsi"/>
        </w:rPr>
        <w:t>)</w:t>
      </w:r>
      <w:r>
        <w:rPr>
          <w:rFonts w:cstheme="minorHAnsi"/>
        </w:rPr>
        <w:t xml:space="preserve">. </w:t>
      </w:r>
      <w:r w:rsidR="00A92CB4">
        <w:rPr>
          <w:rFonts w:cstheme="minorHAnsi"/>
        </w:rPr>
        <w:t>The Australian community continues to change over time and these updates of the classification help to better reflect these changes.</w:t>
      </w:r>
    </w:p>
    <w:p w14:paraId="40729C2E" w14:textId="3D9B319B" w:rsidR="00627620" w:rsidRPr="00627620" w:rsidRDefault="00DE2CB4" w:rsidP="003D0376">
      <w:pPr>
        <w:rPr>
          <w:rFonts w:cstheme="minorHAnsi"/>
        </w:rPr>
      </w:pPr>
      <w:r>
        <w:rPr>
          <w:rFonts w:cstheme="minorHAnsi"/>
        </w:rPr>
        <w:t xml:space="preserve">The ABS has also received feedback from individuals and organisations identifying areas that need </w:t>
      </w:r>
      <w:r w:rsidR="00546EA7">
        <w:rPr>
          <w:rFonts w:cstheme="minorHAnsi"/>
        </w:rPr>
        <w:t>revision</w:t>
      </w:r>
      <w:r>
        <w:rPr>
          <w:rFonts w:cstheme="minorHAnsi"/>
        </w:rPr>
        <w:t>.</w:t>
      </w:r>
      <w:r w:rsidR="00C52FCD">
        <w:rPr>
          <w:rFonts w:cstheme="minorHAnsi"/>
        </w:rPr>
        <w:t xml:space="preserve"> </w:t>
      </w:r>
      <w:r w:rsidR="00546EA7">
        <w:rPr>
          <w:rFonts w:cstheme="minorHAnsi"/>
        </w:rPr>
        <w:t>This review will be informed by feedback from individuals and organisations,</w:t>
      </w:r>
      <w:r w:rsidR="003F612C">
        <w:rPr>
          <w:rFonts w:cstheme="minorHAnsi"/>
        </w:rPr>
        <w:t xml:space="preserve"> and </w:t>
      </w:r>
      <w:r w:rsidR="00546EA7">
        <w:rPr>
          <w:rFonts w:cstheme="minorHAnsi"/>
        </w:rPr>
        <w:t>data from the 2011, 2016 and 2021 Censuses.</w:t>
      </w:r>
    </w:p>
    <w:p w14:paraId="407650CC" w14:textId="77777777" w:rsidR="00E063B2" w:rsidRPr="007F1BDC" w:rsidRDefault="00E063B2" w:rsidP="00E063B2">
      <w:pPr>
        <w:autoSpaceDE w:val="0"/>
        <w:autoSpaceDN w:val="0"/>
        <w:adjustRightInd w:val="0"/>
        <w:spacing w:after="0" w:line="240" w:lineRule="auto"/>
        <w:rPr>
          <w:rFonts w:cstheme="minorHAnsi"/>
          <w:b/>
          <w:bCs/>
          <w:color w:val="000000"/>
        </w:rPr>
      </w:pPr>
      <w:r w:rsidRPr="007F1BDC">
        <w:rPr>
          <w:rFonts w:cstheme="minorHAnsi"/>
          <w:b/>
          <w:bCs/>
          <w:color w:val="000000"/>
        </w:rPr>
        <w:t>What is the impact on official statistics?</w:t>
      </w:r>
    </w:p>
    <w:p w14:paraId="16067B21" w14:textId="15E30A4D" w:rsidR="00E063B2" w:rsidRDefault="00E063B2" w:rsidP="00E063B2">
      <w:r>
        <w:t>When there are changes to a classification, data produced using that classification may not be directly comparable over time. The ABS provides concordance files and supporting documentation to make sure you can understand how changes to the classification will impact data produced from one time point to another.</w:t>
      </w:r>
    </w:p>
    <w:p w14:paraId="46677A7D" w14:textId="66676B33" w:rsidR="00B93415" w:rsidRPr="00B93415" w:rsidRDefault="00725F6F" w:rsidP="00B93415">
      <w:r>
        <w:t xml:space="preserve">The </w:t>
      </w:r>
      <w:r w:rsidR="00777137">
        <w:t>second</w:t>
      </w:r>
      <w:r>
        <w:t xml:space="preserve"> round of public consultation, in the second half of 2025, will outline the proposed changes to the ASCCEG. This consultation process will provide an opportunity for individuals and organisations to provide feedback on the proposed changes before they are implemented.</w:t>
      </w:r>
    </w:p>
    <w:p w14:paraId="3DDB9E26" w14:textId="18F69763" w:rsidR="00D16BD7" w:rsidRPr="00773144" w:rsidRDefault="00D16BD7" w:rsidP="00D16BD7">
      <w:pPr>
        <w:pStyle w:val="NoSpacing"/>
      </w:pPr>
      <w:r w:rsidRPr="00773144">
        <w:rPr>
          <w:rFonts w:cstheme="minorHAnsi"/>
          <w:b/>
          <w:bCs/>
          <w:color w:val="000000"/>
        </w:rPr>
        <w:t>How do I provide feedback?</w:t>
      </w:r>
    </w:p>
    <w:p w14:paraId="4C06CD69" w14:textId="6A1CE95C" w:rsidR="00FF6AE1" w:rsidRPr="00295865" w:rsidRDefault="00D16BD7" w:rsidP="00295865">
      <w:pPr>
        <w:rPr>
          <w:rFonts w:cstheme="minorHAnsi"/>
          <w:color w:val="000000"/>
        </w:rPr>
      </w:pPr>
      <w:r w:rsidRPr="00773144">
        <w:rPr>
          <w:rFonts w:cstheme="minorHAnsi"/>
          <w:color w:val="000000"/>
        </w:rPr>
        <w:t>You</w:t>
      </w:r>
      <w:r w:rsidR="009C1458">
        <w:rPr>
          <w:rFonts w:cstheme="minorHAnsi"/>
          <w:color w:val="000000"/>
        </w:rPr>
        <w:t xml:space="preserve"> can provide feedback by making a submission </w:t>
      </w:r>
      <w:r w:rsidR="009C1458" w:rsidRPr="00773144">
        <w:rPr>
          <w:rFonts w:cstheme="minorHAnsi"/>
          <w:color w:val="000000"/>
        </w:rPr>
        <w:t xml:space="preserve">via the </w:t>
      </w:r>
      <w:hyperlink r:id="rId10" w:history="1">
        <w:r w:rsidR="009C1458" w:rsidRPr="000572BE">
          <w:rPr>
            <w:rStyle w:val="Hyperlink"/>
            <w:rFonts w:cstheme="minorHAnsi"/>
            <w:color w:val="0070C0"/>
          </w:rPr>
          <w:t>ABS Consultation Hub</w:t>
        </w:r>
      </w:hyperlink>
      <w:r w:rsidR="009C1458" w:rsidRPr="00773144">
        <w:rPr>
          <w:rFonts w:cstheme="minorHAnsi"/>
        </w:rPr>
        <w:t>.</w:t>
      </w:r>
    </w:p>
    <w:p w14:paraId="2882E638" w14:textId="77777777" w:rsidR="00823DC5" w:rsidRPr="00381D86" w:rsidRDefault="00823DC5" w:rsidP="00823DC5">
      <w:pPr>
        <w:autoSpaceDE w:val="0"/>
        <w:autoSpaceDN w:val="0"/>
        <w:adjustRightInd w:val="0"/>
        <w:spacing w:after="0" w:line="240" w:lineRule="auto"/>
        <w:rPr>
          <w:rFonts w:cstheme="minorHAnsi"/>
          <w:b/>
          <w:bCs/>
        </w:rPr>
      </w:pPr>
      <w:r w:rsidRPr="00381D86">
        <w:rPr>
          <w:rFonts w:cstheme="minorHAnsi"/>
          <w:b/>
          <w:bCs/>
        </w:rPr>
        <w:t xml:space="preserve">How </w:t>
      </w:r>
      <w:bookmarkStart w:id="1" w:name="_Hlk110518463"/>
      <w:r w:rsidRPr="00381D86">
        <w:rPr>
          <w:rFonts w:cstheme="minorHAnsi"/>
          <w:b/>
          <w:bCs/>
        </w:rPr>
        <w:t>will the information in my submission be used?</w:t>
      </w:r>
      <w:bookmarkEnd w:id="1"/>
    </w:p>
    <w:p w14:paraId="10D07771" w14:textId="2CE66326" w:rsidR="00823DC5" w:rsidRPr="003E2E6E" w:rsidRDefault="00823DC5" w:rsidP="00823DC5">
      <w:pPr>
        <w:rPr>
          <w:rFonts w:cstheme="minorHAnsi"/>
          <w:b/>
          <w:bCs/>
        </w:rPr>
      </w:pPr>
      <w:r w:rsidRPr="00381D86">
        <w:rPr>
          <w:rFonts w:cstheme="minorHAnsi"/>
        </w:rPr>
        <w:t>The</w:t>
      </w:r>
      <w:r w:rsidR="0094669B">
        <w:rPr>
          <w:rFonts w:cstheme="minorHAnsi"/>
        </w:rPr>
        <w:t xml:space="preserve"> information you provide </w:t>
      </w:r>
      <w:r w:rsidR="0095284D">
        <w:rPr>
          <w:rFonts w:cstheme="minorHAnsi"/>
        </w:rPr>
        <w:t xml:space="preserve">in </w:t>
      </w:r>
      <w:r w:rsidR="0094669B">
        <w:rPr>
          <w:rFonts w:cstheme="minorHAnsi"/>
        </w:rPr>
        <w:t xml:space="preserve">your submission will be used to inform the review </w:t>
      </w:r>
      <w:r w:rsidR="00295865">
        <w:rPr>
          <w:rFonts w:cstheme="minorHAnsi"/>
        </w:rPr>
        <w:t xml:space="preserve">and </w:t>
      </w:r>
      <w:r w:rsidR="003643E3">
        <w:rPr>
          <w:rFonts w:cstheme="minorHAnsi"/>
        </w:rPr>
        <w:t xml:space="preserve">in </w:t>
      </w:r>
      <w:r w:rsidR="00295865">
        <w:rPr>
          <w:rFonts w:cstheme="minorHAnsi"/>
        </w:rPr>
        <w:t>preparation for the 2026 Census</w:t>
      </w:r>
      <w:r w:rsidR="003E2E6E">
        <w:rPr>
          <w:rFonts w:cstheme="minorHAnsi"/>
        </w:rPr>
        <w:t xml:space="preserve">. More information about how ABS manages privacy can be found here </w:t>
      </w:r>
      <w:hyperlink r:id="rId11" w:history="1">
        <w:r w:rsidR="003E2E6E" w:rsidRPr="000572BE">
          <w:rPr>
            <w:rStyle w:val="Hyperlink"/>
            <w:rFonts w:cstheme="minorHAnsi"/>
            <w:color w:val="0070C0"/>
          </w:rPr>
          <w:t>Privacy at the ABS | Australian Bureau of Statistics</w:t>
        </w:r>
      </w:hyperlink>
      <w:r w:rsidR="003E2E6E" w:rsidRPr="000572BE">
        <w:rPr>
          <w:rFonts w:cstheme="minorHAnsi"/>
          <w:b/>
          <w:bCs/>
          <w:color w:val="0070C0"/>
        </w:rPr>
        <w:t>.</w:t>
      </w:r>
    </w:p>
    <w:p w14:paraId="6190437E" w14:textId="77777777" w:rsidR="00D528CA" w:rsidRPr="007F1BDC" w:rsidRDefault="00D528CA" w:rsidP="00D528CA">
      <w:pPr>
        <w:autoSpaceDE w:val="0"/>
        <w:autoSpaceDN w:val="0"/>
        <w:adjustRightInd w:val="0"/>
        <w:spacing w:after="0" w:line="240" w:lineRule="auto"/>
        <w:rPr>
          <w:rFonts w:cstheme="minorHAnsi"/>
          <w:b/>
          <w:bCs/>
        </w:rPr>
      </w:pPr>
      <w:r w:rsidRPr="007F1BDC">
        <w:rPr>
          <w:rFonts w:cstheme="minorHAnsi"/>
          <w:b/>
          <w:bCs/>
        </w:rPr>
        <w:t xml:space="preserve">What happens after the </w:t>
      </w:r>
      <w:r>
        <w:rPr>
          <w:rFonts w:cstheme="minorHAnsi"/>
          <w:b/>
          <w:bCs/>
        </w:rPr>
        <w:t xml:space="preserve">ABS </w:t>
      </w:r>
      <w:r w:rsidRPr="007F1BDC">
        <w:rPr>
          <w:rFonts w:cstheme="minorHAnsi"/>
          <w:b/>
          <w:bCs/>
        </w:rPr>
        <w:t xml:space="preserve">Consultation </w:t>
      </w:r>
      <w:r>
        <w:rPr>
          <w:rFonts w:cstheme="minorHAnsi"/>
          <w:b/>
          <w:bCs/>
        </w:rPr>
        <w:t>H</w:t>
      </w:r>
      <w:r w:rsidRPr="007F1BDC">
        <w:rPr>
          <w:rFonts w:cstheme="minorHAnsi"/>
          <w:b/>
          <w:bCs/>
        </w:rPr>
        <w:t>ub closes?</w:t>
      </w:r>
    </w:p>
    <w:p w14:paraId="36ED3301" w14:textId="77777777" w:rsidR="00970BED" w:rsidRDefault="00D528CA" w:rsidP="00D528CA">
      <w:pPr>
        <w:rPr>
          <w:rFonts w:cstheme="minorHAnsi"/>
        </w:rPr>
      </w:pPr>
      <w:r w:rsidRPr="001A6CB4">
        <w:rPr>
          <w:rFonts w:cstheme="minorHAnsi"/>
        </w:rPr>
        <w:t>After the</w:t>
      </w:r>
      <w:r w:rsidR="008734C7">
        <w:rPr>
          <w:rFonts w:cstheme="minorHAnsi"/>
        </w:rPr>
        <w:t xml:space="preserve"> ABS Consultation Hub closes, all submissions will be reviewed. The ABS may contact submission authors for more information if they have agreed to be contacted. </w:t>
      </w:r>
      <w:r w:rsidR="00D464AA">
        <w:rPr>
          <w:rFonts w:cstheme="minorHAnsi"/>
        </w:rPr>
        <w:t xml:space="preserve">The ABS will also seek feedback on the proposed changes to the ASCCEG in </w:t>
      </w:r>
      <w:r w:rsidR="006E6B3D">
        <w:rPr>
          <w:rFonts w:cstheme="minorHAnsi"/>
        </w:rPr>
        <w:t xml:space="preserve">the second half of </w:t>
      </w:r>
      <w:r w:rsidR="00D464AA">
        <w:rPr>
          <w:rFonts w:cstheme="minorHAnsi"/>
        </w:rPr>
        <w:t xml:space="preserve">2025. </w:t>
      </w:r>
    </w:p>
    <w:p w14:paraId="0A0F7583" w14:textId="77777777" w:rsidR="00D464AA" w:rsidRPr="00773144" w:rsidRDefault="00D464AA" w:rsidP="00D464AA">
      <w:pPr>
        <w:spacing w:after="0" w:line="240" w:lineRule="auto"/>
        <w:rPr>
          <w:rFonts w:eastAsia="Microsoft JhengHei" w:cs="Leelawadee"/>
        </w:rPr>
      </w:pPr>
      <w:r w:rsidRPr="00AB5F7E">
        <w:rPr>
          <w:rFonts w:cstheme="minorHAnsi"/>
          <w:b/>
          <w:bCs/>
        </w:rPr>
        <w:t xml:space="preserve">Any </w:t>
      </w:r>
      <w:r>
        <w:rPr>
          <w:rFonts w:cstheme="minorHAnsi"/>
          <w:b/>
          <w:bCs/>
        </w:rPr>
        <w:t xml:space="preserve">further </w:t>
      </w:r>
      <w:r w:rsidRPr="00AB5F7E">
        <w:rPr>
          <w:rFonts w:cstheme="minorHAnsi"/>
          <w:b/>
          <w:bCs/>
        </w:rPr>
        <w:t>questions?</w:t>
      </w:r>
    </w:p>
    <w:p w14:paraId="1CA53C85" w14:textId="5FCA3AFF" w:rsidR="00D464AA" w:rsidRPr="00D464AA" w:rsidRDefault="00D464AA" w:rsidP="00D528CA">
      <w:pPr>
        <w:rPr>
          <w:rFonts w:cstheme="minorHAnsi"/>
        </w:rPr>
      </w:pPr>
      <w:r>
        <w:rPr>
          <w:rFonts w:cstheme="minorHAnsi"/>
        </w:rPr>
        <w:t xml:space="preserve">Contact us at </w:t>
      </w:r>
      <w:bookmarkStart w:id="2" w:name="_Hlk178678320"/>
      <w:r w:rsidRPr="000572BE">
        <w:fldChar w:fldCharType="begin"/>
      </w:r>
      <w:r w:rsidRPr="000572BE">
        <w:rPr>
          <w:color w:val="0070C0"/>
        </w:rPr>
        <w:instrText>HYPERLINK "mailto:standards@abs.gov.au"</w:instrText>
      </w:r>
      <w:r w:rsidRPr="000572BE">
        <w:fldChar w:fldCharType="separate"/>
      </w:r>
      <w:r w:rsidRPr="000572BE">
        <w:rPr>
          <w:rStyle w:val="Hyperlink"/>
          <w:rFonts w:cstheme="minorHAnsi"/>
          <w:color w:val="0070C0"/>
        </w:rPr>
        <w:t>standards@abs.gov.au</w:t>
      </w:r>
      <w:r w:rsidRPr="000572BE">
        <w:rPr>
          <w:rStyle w:val="Hyperlink"/>
          <w:rFonts w:cstheme="minorHAnsi"/>
          <w:color w:val="0070C0"/>
        </w:rPr>
        <w:fldChar w:fldCharType="end"/>
      </w:r>
      <w:bookmarkEnd w:id="2"/>
      <w:r>
        <w:rPr>
          <w:rFonts w:cstheme="minorHAnsi"/>
        </w:rPr>
        <w:t xml:space="preserve"> with any questions on this consultation or for further information regarding ASCCEG.</w:t>
      </w:r>
    </w:p>
    <w:p w14:paraId="3382CCD3" w14:textId="77777777" w:rsidR="00840166" w:rsidRDefault="00840166" w:rsidP="002868A8"/>
    <w:sectPr w:rsidR="00840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30141"/>
    <w:multiLevelType w:val="hybridMultilevel"/>
    <w:tmpl w:val="8BF26A54"/>
    <w:lvl w:ilvl="0" w:tplc="DBC251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DB77CA"/>
    <w:multiLevelType w:val="hybridMultilevel"/>
    <w:tmpl w:val="3B96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34137"/>
    <w:multiLevelType w:val="hybridMultilevel"/>
    <w:tmpl w:val="43C8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ED4452"/>
    <w:multiLevelType w:val="hybridMultilevel"/>
    <w:tmpl w:val="118CAA7C"/>
    <w:lvl w:ilvl="0" w:tplc="DBC251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EC6CE9"/>
    <w:multiLevelType w:val="hybridMultilevel"/>
    <w:tmpl w:val="E0129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83267AC"/>
    <w:multiLevelType w:val="hybridMultilevel"/>
    <w:tmpl w:val="F6FA97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B540B60"/>
    <w:multiLevelType w:val="hybridMultilevel"/>
    <w:tmpl w:val="326EE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2D6F42"/>
    <w:multiLevelType w:val="hybridMultilevel"/>
    <w:tmpl w:val="33664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2C3BFE"/>
    <w:multiLevelType w:val="hybridMultilevel"/>
    <w:tmpl w:val="C0BA1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8E348D"/>
    <w:multiLevelType w:val="hybridMultilevel"/>
    <w:tmpl w:val="9EB05F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530027272">
    <w:abstractNumId w:val="6"/>
  </w:num>
  <w:num w:numId="2" w16cid:durableId="1134636319">
    <w:abstractNumId w:val="2"/>
  </w:num>
  <w:num w:numId="3" w16cid:durableId="85657282">
    <w:abstractNumId w:val="3"/>
  </w:num>
  <w:num w:numId="4" w16cid:durableId="2022706977">
    <w:abstractNumId w:val="0"/>
  </w:num>
  <w:num w:numId="5" w16cid:durableId="1311787864">
    <w:abstractNumId w:val="1"/>
  </w:num>
  <w:num w:numId="6" w16cid:durableId="1642883865">
    <w:abstractNumId w:val="8"/>
  </w:num>
  <w:num w:numId="7" w16cid:durableId="530146439">
    <w:abstractNumId w:val="7"/>
  </w:num>
  <w:num w:numId="8" w16cid:durableId="831144124">
    <w:abstractNumId w:val="4"/>
  </w:num>
  <w:num w:numId="9" w16cid:durableId="1443959550">
    <w:abstractNumId w:val="5"/>
  </w:num>
  <w:num w:numId="10" w16cid:durableId="570584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75"/>
    <w:rsid w:val="000031D6"/>
    <w:rsid w:val="000036F2"/>
    <w:rsid w:val="00004471"/>
    <w:rsid w:val="00015A8D"/>
    <w:rsid w:val="00015AA4"/>
    <w:rsid w:val="00016CB8"/>
    <w:rsid w:val="00017322"/>
    <w:rsid w:val="0004302C"/>
    <w:rsid w:val="000572BE"/>
    <w:rsid w:val="000575D3"/>
    <w:rsid w:val="00066875"/>
    <w:rsid w:val="000A0DC7"/>
    <w:rsid w:val="000A4195"/>
    <w:rsid w:val="000B3227"/>
    <w:rsid w:val="000C79D2"/>
    <w:rsid w:val="001000E0"/>
    <w:rsid w:val="00102DE8"/>
    <w:rsid w:val="00120BA1"/>
    <w:rsid w:val="00126886"/>
    <w:rsid w:val="00165937"/>
    <w:rsid w:val="00166723"/>
    <w:rsid w:val="001749C8"/>
    <w:rsid w:val="00186266"/>
    <w:rsid w:val="001B1C4B"/>
    <w:rsid w:val="001B3E7F"/>
    <w:rsid w:val="001B6C38"/>
    <w:rsid w:val="001C4D8F"/>
    <w:rsid w:val="001E7889"/>
    <w:rsid w:val="001F0E39"/>
    <w:rsid w:val="00200229"/>
    <w:rsid w:val="00200AA6"/>
    <w:rsid w:val="00205D31"/>
    <w:rsid w:val="002060FA"/>
    <w:rsid w:val="00212DF5"/>
    <w:rsid w:val="00212FC5"/>
    <w:rsid w:val="00224DEA"/>
    <w:rsid w:val="00226D26"/>
    <w:rsid w:val="0023706C"/>
    <w:rsid w:val="00240D19"/>
    <w:rsid w:val="00242A31"/>
    <w:rsid w:val="00245761"/>
    <w:rsid w:val="00250F33"/>
    <w:rsid w:val="0025752F"/>
    <w:rsid w:val="002631AB"/>
    <w:rsid w:val="00275B6C"/>
    <w:rsid w:val="00277223"/>
    <w:rsid w:val="00281447"/>
    <w:rsid w:val="00281F95"/>
    <w:rsid w:val="0028653C"/>
    <w:rsid w:val="002868A8"/>
    <w:rsid w:val="00292224"/>
    <w:rsid w:val="00295865"/>
    <w:rsid w:val="002B37E0"/>
    <w:rsid w:val="002B6CA5"/>
    <w:rsid w:val="002C4DFD"/>
    <w:rsid w:val="002E1623"/>
    <w:rsid w:val="002E4408"/>
    <w:rsid w:val="002F3F93"/>
    <w:rsid w:val="003148E1"/>
    <w:rsid w:val="003170ED"/>
    <w:rsid w:val="00335CCA"/>
    <w:rsid w:val="00351692"/>
    <w:rsid w:val="003567B1"/>
    <w:rsid w:val="003643E3"/>
    <w:rsid w:val="003711F8"/>
    <w:rsid w:val="003829B7"/>
    <w:rsid w:val="00383FF2"/>
    <w:rsid w:val="0039618E"/>
    <w:rsid w:val="003A18FA"/>
    <w:rsid w:val="003C12C0"/>
    <w:rsid w:val="003D0376"/>
    <w:rsid w:val="003D7BD2"/>
    <w:rsid w:val="003E1E4C"/>
    <w:rsid w:val="003E2E6E"/>
    <w:rsid w:val="003E4B83"/>
    <w:rsid w:val="003F6033"/>
    <w:rsid w:val="003F612C"/>
    <w:rsid w:val="004014AF"/>
    <w:rsid w:val="00401923"/>
    <w:rsid w:val="00404E1F"/>
    <w:rsid w:val="00407F79"/>
    <w:rsid w:val="00434B8E"/>
    <w:rsid w:val="00452C12"/>
    <w:rsid w:val="00472202"/>
    <w:rsid w:val="004775E4"/>
    <w:rsid w:val="0048695C"/>
    <w:rsid w:val="0049268F"/>
    <w:rsid w:val="004A2858"/>
    <w:rsid w:val="004A4A5E"/>
    <w:rsid w:val="004A7E38"/>
    <w:rsid w:val="004B0141"/>
    <w:rsid w:val="004C721D"/>
    <w:rsid w:val="004D347E"/>
    <w:rsid w:val="004D39B1"/>
    <w:rsid w:val="004E6025"/>
    <w:rsid w:val="00501059"/>
    <w:rsid w:val="005031F4"/>
    <w:rsid w:val="00513B35"/>
    <w:rsid w:val="00535F82"/>
    <w:rsid w:val="00537535"/>
    <w:rsid w:val="00546EA7"/>
    <w:rsid w:val="005540D5"/>
    <w:rsid w:val="00566A2F"/>
    <w:rsid w:val="00575C5F"/>
    <w:rsid w:val="00576067"/>
    <w:rsid w:val="0058526C"/>
    <w:rsid w:val="005A7907"/>
    <w:rsid w:val="005C34BE"/>
    <w:rsid w:val="006010D3"/>
    <w:rsid w:val="006027C0"/>
    <w:rsid w:val="00602938"/>
    <w:rsid w:val="00622869"/>
    <w:rsid w:val="00622EE1"/>
    <w:rsid w:val="00627620"/>
    <w:rsid w:val="00646394"/>
    <w:rsid w:val="006601E3"/>
    <w:rsid w:val="006B6045"/>
    <w:rsid w:val="006D2BBE"/>
    <w:rsid w:val="006E1E79"/>
    <w:rsid w:val="006E6B3D"/>
    <w:rsid w:val="0071394E"/>
    <w:rsid w:val="00722B2B"/>
    <w:rsid w:val="007236D0"/>
    <w:rsid w:val="0072520E"/>
    <w:rsid w:val="00725F6F"/>
    <w:rsid w:val="007355F9"/>
    <w:rsid w:val="00742A2E"/>
    <w:rsid w:val="00755FC2"/>
    <w:rsid w:val="00775F6B"/>
    <w:rsid w:val="00777137"/>
    <w:rsid w:val="007804D3"/>
    <w:rsid w:val="00796470"/>
    <w:rsid w:val="007B012E"/>
    <w:rsid w:val="007B08A8"/>
    <w:rsid w:val="007B0B03"/>
    <w:rsid w:val="007B0DE8"/>
    <w:rsid w:val="007B2F16"/>
    <w:rsid w:val="007E0EAD"/>
    <w:rsid w:val="0082276B"/>
    <w:rsid w:val="00823DC5"/>
    <w:rsid w:val="00823FB3"/>
    <w:rsid w:val="008248D4"/>
    <w:rsid w:val="008267CF"/>
    <w:rsid w:val="00827792"/>
    <w:rsid w:val="0083467D"/>
    <w:rsid w:val="00840166"/>
    <w:rsid w:val="0084536B"/>
    <w:rsid w:val="00845CBC"/>
    <w:rsid w:val="008537C4"/>
    <w:rsid w:val="00854586"/>
    <w:rsid w:val="00854D13"/>
    <w:rsid w:val="00871B4A"/>
    <w:rsid w:val="008734C7"/>
    <w:rsid w:val="00880747"/>
    <w:rsid w:val="008813FB"/>
    <w:rsid w:val="00891E4D"/>
    <w:rsid w:val="0089398C"/>
    <w:rsid w:val="008A66EA"/>
    <w:rsid w:val="008B2D34"/>
    <w:rsid w:val="008B5911"/>
    <w:rsid w:val="008B6F91"/>
    <w:rsid w:val="008D4B93"/>
    <w:rsid w:val="008F2E2F"/>
    <w:rsid w:val="0090018D"/>
    <w:rsid w:val="00902760"/>
    <w:rsid w:val="00903977"/>
    <w:rsid w:val="009335F7"/>
    <w:rsid w:val="0094669B"/>
    <w:rsid w:val="0095284D"/>
    <w:rsid w:val="00955084"/>
    <w:rsid w:val="00956A9A"/>
    <w:rsid w:val="00970BED"/>
    <w:rsid w:val="00990FCE"/>
    <w:rsid w:val="00997617"/>
    <w:rsid w:val="009A19D6"/>
    <w:rsid w:val="009C1458"/>
    <w:rsid w:val="009C186D"/>
    <w:rsid w:val="009C7BD6"/>
    <w:rsid w:val="009D0667"/>
    <w:rsid w:val="009E3FBB"/>
    <w:rsid w:val="009E5E35"/>
    <w:rsid w:val="009E65B5"/>
    <w:rsid w:val="00A10975"/>
    <w:rsid w:val="00A16972"/>
    <w:rsid w:val="00A23A3E"/>
    <w:rsid w:val="00A724C5"/>
    <w:rsid w:val="00A8133F"/>
    <w:rsid w:val="00A9067F"/>
    <w:rsid w:val="00A9107A"/>
    <w:rsid w:val="00A92CB4"/>
    <w:rsid w:val="00AA1F51"/>
    <w:rsid w:val="00AA72A2"/>
    <w:rsid w:val="00AA72AA"/>
    <w:rsid w:val="00AB2D5B"/>
    <w:rsid w:val="00AD06ED"/>
    <w:rsid w:val="00AD5E53"/>
    <w:rsid w:val="00AE109D"/>
    <w:rsid w:val="00AE4470"/>
    <w:rsid w:val="00AF598E"/>
    <w:rsid w:val="00B03C93"/>
    <w:rsid w:val="00B05FB9"/>
    <w:rsid w:val="00B06755"/>
    <w:rsid w:val="00B23845"/>
    <w:rsid w:val="00B34AA2"/>
    <w:rsid w:val="00B55791"/>
    <w:rsid w:val="00B576E1"/>
    <w:rsid w:val="00B6373C"/>
    <w:rsid w:val="00B72F78"/>
    <w:rsid w:val="00B8116B"/>
    <w:rsid w:val="00B81486"/>
    <w:rsid w:val="00B84F65"/>
    <w:rsid w:val="00B92B4E"/>
    <w:rsid w:val="00B93415"/>
    <w:rsid w:val="00B940DE"/>
    <w:rsid w:val="00BB1AA1"/>
    <w:rsid w:val="00BB54E9"/>
    <w:rsid w:val="00BD5639"/>
    <w:rsid w:val="00BE47B5"/>
    <w:rsid w:val="00C008AF"/>
    <w:rsid w:val="00C266FF"/>
    <w:rsid w:val="00C362BE"/>
    <w:rsid w:val="00C42DA5"/>
    <w:rsid w:val="00C4393F"/>
    <w:rsid w:val="00C52FCD"/>
    <w:rsid w:val="00C874A0"/>
    <w:rsid w:val="00CA76A0"/>
    <w:rsid w:val="00CC7C72"/>
    <w:rsid w:val="00D13A28"/>
    <w:rsid w:val="00D16BD7"/>
    <w:rsid w:val="00D32755"/>
    <w:rsid w:val="00D33638"/>
    <w:rsid w:val="00D464AA"/>
    <w:rsid w:val="00D52666"/>
    <w:rsid w:val="00D528CA"/>
    <w:rsid w:val="00D55D05"/>
    <w:rsid w:val="00D63C61"/>
    <w:rsid w:val="00D65475"/>
    <w:rsid w:val="00D70C59"/>
    <w:rsid w:val="00D715E5"/>
    <w:rsid w:val="00D860E0"/>
    <w:rsid w:val="00DC7DF9"/>
    <w:rsid w:val="00DD58EA"/>
    <w:rsid w:val="00DE0B90"/>
    <w:rsid w:val="00DE0DED"/>
    <w:rsid w:val="00DE2C3F"/>
    <w:rsid w:val="00DE2CB4"/>
    <w:rsid w:val="00DE383D"/>
    <w:rsid w:val="00DF08F8"/>
    <w:rsid w:val="00DF0A69"/>
    <w:rsid w:val="00DF12A9"/>
    <w:rsid w:val="00DF2D6E"/>
    <w:rsid w:val="00E005AB"/>
    <w:rsid w:val="00E063B2"/>
    <w:rsid w:val="00E362CD"/>
    <w:rsid w:val="00E52564"/>
    <w:rsid w:val="00E86476"/>
    <w:rsid w:val="00E97E93"/>
    <w:rsid w:val="00EB0292"/>
    <w:rsid w:val="00EC7F26"/>
    <w:rsid w:val="00ED623B"/>
    <w:rsid w:val="00EE40E2"/>
    <w:rsid w:val="00EE7335"/>
    <w:rsid w:val="00F2242D"/>
    <w:rsid w:val="00F23C32"/>
    <w:rsid w:val="00F46E37"/>
    <w:rsid w:val="00F619C9"/>
    <w:rsid w:val="00F63BA5"/>
    <w:rsid w:val="00F82AFD"/>
    <w:rsid w:val="00F84434"/>
    <w:rsid w:val="00FC723D"/>
    <w:rsid w:val="00FD01B3"/>
    <w:rsid w:val="00FE0DD4"/>
    <w:rsid w:val="00FF6AE1"/>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B90B"/>
  <w15:chartTrackingRefBased/>
  <w15:docId w15:val="{932607B6-688D-4308-92C4-2F21823D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7F"/>
    <w:rPr>
      <w:kern w:val="0"/>
      <w14:ligatures w14:val="none"/>
    </w:rPr>
  </w:style>
  <w:style w:type="paragraph" w:styleId="Heading1">
    <w:name w:val="heading 1"/>
    <w:basedOn w:val="Normal"/>
    <w:next w:val="Normal"/>
    <w:link w:val="Heading1Char"/>
    <w:uiPriority w:val="9"/>
    <w:qFormat/>
    <w:rsid w:val="00D6547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547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547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547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6547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6547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6547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6547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6547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5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5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5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5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5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475"/>
    <w:rPr>
      <w:rFonts w:eastAsiaTheme="majorEastAsia" w:cstheme="majorBidi"/>
      <w:color w:val="272727" w:themeColor="text1" w:themeTint="D8"/>
    </w:rPr>
  </w:style>
  <w:style w:type="paragraph" w:styleId="Title">
    <w:name w:val="Title"/>
    <w:basedOn w:val="Normal"/>
    <w:next w:val="Normal"/>
    <w:link w:val="TitleChar"/>
    <w:uiPriority w:val="10"/>
    <w:qFormat/>
    <w:rsid w:val="00D654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5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47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5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47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65475"/>
    <w:rPr>
      <w:i/>
      <w:iCs/>
      <w:color w:val="404040" w:themeColor="text1" w:themeTint="BF"/>
    </w:rPr>
  </w:style>
  <w:style w:type="paragraph" w:styleId="ListParagraph">
    <w:name w:val="List Paragraph"/>
    <w:basedOn w:val="Normal"/>
    <w:uiPriority w:val="34"/>
    <w:qFormat/>
    <w:rsid w:val="00D65475"/>
    <w:pPr>
      <w:ind w:left="720"/>
      <w:contextualSpacing/>
    </w:pPr>
    <w:rPr>
      <w:kern w:val="2"/>
      <w14:ligatures w14:val="standardContextual"/>
    </w:rPr>
  </w:style>
  <w:style w:type="character" w:styleId="IntenseEmphasis">
    <w:name w:val="Intense Emphasis"/>
    <w:basedOn w:val="DefaultParagraphFont"/>
    <w:uiPriority w:val="21"/>
    <w:qFormat/>
    <w:rsid w:val="00D65475"/>
    <w:rPr>
      <w:i/>
      <w:iCs/>
      <w:color w:val="2F5496" w:themeColor="accent1" w:themeShade="BF"/>
    </w:rPr>
  </w:style>
  <w:style w:type="paragraph" w:styleId="IntenseQuote">
    <w:name w:val="Intense Quote"/>
    <w:basedOn w:val="Normal"/>
    <w:next w:val="Normal"/>
    <w:link w:val="IntenseQuoteChar"/>
    <w:uiPriority w:val="30"/>
    <w:qFormat/>
    <w:rsid w:val="00D65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65475"/>
    <w:rPr>
      <w:i/>
      <w:iCs/>
      <w:color w:val="2F5496" w:themeColor="accent1" w:themeShade="BF"/>
    </w:rPr>
  </w:style>
  <w:style w:type="character" w:styleId="IntenseReference">
    <w:name w:val="Intense Reference"/>
    <w:basedOn w:val="DefaultParagraphFont"/>
    <w:uiPriority w:val="32"/>
    <w:qFormat/>
    <w:rsid w:val="00D65475"/>
    <w:rPr>
      <w:b/>
      <w:bCs/>
      <w:smallCaps/>
      <w:color w:val="2F5496" w:themeColor="accent1" w:themeShade="BF"/>
      <w:spacing w:val="5"/>
    </w:rPr>
  </w:style>
  <w:style w:type="paragraph" w:styleId="NoSpacing">
    <w:name w:val="No Spacing"/>
    <w:uiPriority w:val="1"/>
    <w:qFormat/>
    <w:rsid w:val="00226D26"/>
    <w:pPr>
      <w:spacing w:after="0" w:line="240" w:lineRule="auto"/>
    </w:pPr>
    <w:rPr>
      <w:kern w:val="0"/>
      <w14:ligatures w14:val="none"/>
    </w:rPr>
  </w:style>
  <w:style w:type="character" w:styleId="Hyperlink">
    <w:name w:val="Hyperlink"/>
    <w:basedOn w:val="DefaultParagraphFont"/>
    <w:uiPriority w:val="99"/>
    <w:unhideWhenUsed/>
    <w:rsid w:val="00BE47B5"/>
    <w:rPr>
      <w:color w:val="0563C1" w:themeColor="hyperlink"/>
      <w:u w:val="single"/>
    </w:rPr>
  </w:style>
  <w:style w:type="character" w:styleId="UnresolvedMention">
    <w:name w:val="Unresolved Mention"/>
    <w:basedOn w:val="DefaultParagraphFont"/>
    <w:uiPriority w:val="99"/>
    <w:semiHidden/>
    <w:unhideWhenUsed/>
    <w:rsid w:val="003E2E6E"/>
    <w:rPr>
      <w:color w:val="605E5C"/>
      <w:shd w:val="clear" w:color="auto" w:fill="E1DFDD"/>
    </w:rPr>
  </w:style>
  <w:style w:type="character" w:styleId="CommentReference">
    <w:name w:val="annotation reference"/>
    <w:basedOn w:val="DefaultParagraphFont"/>
    <w:uiPriority w:val="99"/>
    <w:semiHidden/>
    <w:unhideWhenUsed/>
    <w:rsid w:val="00224DEA"/>
    <w:rPr>
      <w:sz w:val="16"/>
      <w:szCs w:val="16"/>
    </w:rPr>
  </w:style>
  <w:style w:type="paragraph" w:styleId="CommentText">
    <w:name w:val="annotation text"/>
    <w:basedOn w:val="Normal"/>
    <w:link w:val="CommentTextChar"/>
    <w:uiPriority w:val="99"/>
    <w:unhideWhenUsed/>
    <w:rsid w:val="00224DEA"/>
    <w:pPr>
      <w:spacing w:line="240" w:lineRule="auto"/>
    </w:pPr>
    <w:rPr>
      <w:sz w:val="20"/>
      <w:szCs w:val="20"/>
    </w:rPr>
  </w:style>
  <w:style w:type="character" w:customStyle="1" w:styleId="CommentTextChar">
    <w:name w:val="Comment Text Char"/>
    <w:basedOn w:val="DefaultParagraphFont"/>
    <w:link w:val="CommentText"/>
    <w:uiPriority w:val="99"/>
    <w:rsid w:val="00224DE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4DEA"/>
    <w:rPr>
      <w:b/>
      <w:bCs/>
    </w:rPr>
  </w:style>
  <w:style w:type="character" w:customStyle="1" w:styleId="CommentSubjectChar">
    <w:name w:val="Comment Subject Char"/>
    <w:basedOn w:val="CommentTextChar"/>
    <w:link w:val="CommentSubject"/>
    <w:uiPriority w:val="99"/>
    <w:semiHidden/>
    <w:rsid w:val="00224DEA"/>
    <w:rPr>
      <w:b/>
      <w:bCs/>
      <w:kern w:val="0"/>
      <w:sz w:val="20"/>
      <w:szCs w:val="20"/>
      <w14:ligatures w14:val="none"/>
    </w:rPr>
  </w:style>
  <w:style w:type="paragraph" w:styleId="Revision">
    <w:name w:val="Revision"/>
    <w:hidden/>
    <w:uiPriority w:val="99"/>
    <w:semiHidden/>
    <w:rsid w:val="006601E3"/>
    <w:pPr>
      <w:spacing w:after="0" w:line="240" w:lineRule="auto"/>
    </w:pPr>
    <w:rPr>
      <w:kern w:val="0"/>
      <w14:ligatures w14:val="none"/>
    </w:rPr>
  </w:style>
  <w:style w:type="character" w:styleId="FollowedHyperlink">
    <w:name w:val="FollowedHyperlink"/>
    <w:basedOn w:val="DefaultParagraphFont"/>
    <w:uiPriority w:val="99"/>
    <w:semiHidden/>
    <w:unhideWhenUsed/>
    <w:rsid w:val="00DE3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4465">
      <w:bodyDiv w:val="1"/>
      <w:marLeft w:val="0"/>
      <w:marRight w:val="0"/>
      <w:marTop w:val="0"/>
      <w:marBottom w:val="0"/>
      <w:divBdr>
        <w:top w:val="none" w:sz="0" w:space="0" w:color="auto"/>
        <w:left w:val="none" w:sz="0" w:space="0" w:color="auto"/>
        <w:bottom w:val="none" w:sz="0" w:space="0" w:color="auto"/>
        <w:right w:val="none" w:sz="0" w:space="0" w:color="auto"/>
      </w:divBdr>
    </w:div>
    <w:div w:id="384765149">
      <w:bodyDiv w:val="1"/>
      <w:marLeft w:val="0"/>
      <w:marRight w:val="0"/>
      <w:marTop w:val="0"/>
      <w:marBottom w:val="0"/>
      <w:divBdr>
        <w:top w:val="none" w:sz="0" w:space="0" w:color="auto"/>
        <w:left w:val="none" w:sz="0" w:space="0" w:color="auto"/>
        <w:bottom w:val="none" w:sz="0" w:space="0" w:color="auto"/>
        <w:right w:val="none" w:sz="0" w:space="0" w:color="auto"/>
      </w:divBdr>
    </w:div>
    <w:div w:id="819469684">
      <w:bodyDiv w:val="1"/>
      <w:marLeft w:val="0"/>
      <w:marRight w:val="0"/>
      <w:marTop w:val="0"/>
      <w:marBottom w:val="0"/>
      <w:divBdr>
        <w:top w:val="none" w:sz="0" w:space="0" w:color="auto"/>
        <w:left w:val="none" w:sz="0" w:space="0" w:color="auto"/>
        <w:bottom w:val="none" w:sz="0" w:space="0" w:color="auto"/>
        <w:right w:val="none" w:sz="0" w:space="0" w:color="auto"/>
      </w:divBdr>
    </w:div>
    <w:div w:id="880627689">
      <w:bodyDiv w:val="1"/>
      <w:marLeft w:val="0"/>
      <w:marRight w:val="0"/>
      <w:marTop w:val="0"/>
      <w:marBottom w:val="0"/>
      <w:divBdr>
        <w:top w:val="none" w:sz="0" w:space="0" w:color="auto"/>
        <w:left w:val="none" w:sz="0" w:space="0" w:color="auto"/>
        <w:bottom w:val="none" w:sz="0" w:space="0" w:color="auto"/>
        <w:right w:val="none" w:sz="0" w:space="0" w:color="auto"/>
      </w:divBdr>
    </w:div>
    <w:div w:id="1183399911">
      <w:bodyDiv w:val="1"/>
      <w:marLeft w:val="0"/>
      <w:marRight w:val="0"/>
      <w:marTop w:val="0"/>
      <w:marBottom w:val="0"/>
      <w:divBdr>
        <w:top w:val="none" w:sz="0" w:space="0" w:color="auto"/>
        <w:left w:val="none" w:sz="0" w:space="0" w:color="auto"/>
        <w:bottom w:val="none" w:sz="0" w:space="0" w:color="auto"/>
        <w:right w:val="none" w:sz="0" w:space="0" w:color="auto"/>
      </w:divBdr>
    </w:div>
    <w:div w:id="1349405163">
      <w:bodyDiv w:val="1"/>
      <w:marLeft w:val="0"/>
      <w:marRight w:val="0"/>
      <w:marTop w:val="0"/>
      <w:marBottom w:val="0"/>
      <w:divBdr>
        <w:top w:val="none" w:sz="0" w:space="0" w:color="auto"/>
        <w:left w:val="none" w:sz="0" w:space="0" w:color="auto"/>
        <w:bottom w:val="none" w:sz="0" w:space="0" w:color="auto"/>
        <w:right w:val="none" w:sz="0" w:space="0" w:color="auto"/>
      </w:divBdr>
    </w:div>
    <w:div w:id="1712731281">
      <w:bodyDiv w:val="1"/>
      <w:marLeft w:val="0"/>
      <w:marRight w:val="0"/>
      <w:marTop w:val="0"/>
      <w:marBottom w:val="0"/>
      <w:divBdr>
        <w:top w:val="none" w:sz="0" w:space="0" w:color="auto"/>
        <w:left w:val="none" w:sz="0" w:space="0" w:color="auto"/>
        <w:bottom w:val="none" w:sz="0" w:space="0" w:color="auto"/>
        <w:right w:val="none" w:sz="0" w:space="0" w:color="auto"/>
      </w:divBdr>
    </w:div>
    <w:div w:id="1950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standards/standards-statistics-cultural-and-language-diversity/austral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bs.gov.au/statistics/standards/ancestry-standard/latest-releas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s.gov.au/statistics/classifications/australian-standard-classification-cultural-and-ethnic-groups-ascceg/2019" TargetMode="External"/><Relationship Id="rId11" Type="http://schemas.openxmlformats.org/officeDocument/2006/relationships/hyperlink" Target="https://www.abs.gov.au/about/legislation-and-policy/privacy/privacy-abs" TargetMode="External"/><Relationship Id="rId5" Type="http://schemas.openxmlformats.org/officeDocument/2006/relationships/webSettings" Target="webSettings.xml"/><Relationship Id="rId10" Type="http://schemas.openxmlformats.org/officeDocument/2006/relationships/hyperlink" Target="https://consult.abs.gov.au/" TargetMode="External"/><Relationship Id="rId4" Type="http://schemas.openxmlformats.org/officeDocument/2006/relationships/settings" Target="settings.xml"/><Relationship Id="rId9" Type="http://schemas.openxmlformats.org/officeDocument/2006/relationships/hyperlink" Target="https://www.abs.gov.au/statistics/research/outcomes-2026-census-topic-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9FB0-B18C-4F3B-9E13-E0054F93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Melean Bautista</dc:creator>
  <cp:keywords/>
  <dc:description/>
  <cp:lastModifiedBy>Yasmin Melean Bautista</cp:lastModifiedBy>
  <cp:revision>3</cp:revision>
  <dcterms:created xsi:type="dcterms:W3CDTF">2025-04-04T00:54:00Z</dcterms:created>
  <dcterms:modified xsi:type="dcterms:W3CDTF">2025-04-04T00:58:00Z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2025-02-20T22:50:10Z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17abc796-85fa-4c0b-8797-4f70b427c4fd</vt:lpwstr>
  </property>
  <property fmtid="{D5CDD505-2E9C-101B-9397-08002B2CF9AE}" pid="8" name="MSIP_Label_c8e5a7ee-c283-40b0-98eb-fa437df4c031_ContentBits">
    <vt:lpwstr>0</vt:lpwstr>
  </property>
  <property fmtid="{D5CDD505-2E9C-101B-9397-08002B2CF9AE}" pid="9" name="MSIP_Label_c8e5a7ee-c283-40b0-98eb-fa437df4c031_Tag">
    <vt:lpwstr>10, 0, 1, 1</vt:lpwstr>
  </property>
</Properties>
</file>