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C9028" w14:textId="139EE4A0" w:rsidR="6463BF29" w:rsidRDefault="6463BF29" w:rsidP="4E991560">
      <w:r>
        <w:rPr>
          <w:noProof/>
        </w:rPr>
        <w:drawing>
          <wp:inline distT="0" distB="0" distL="0" distR="0" wp14:anchorId="2D5D9FE7" wp14:editId="2E9BABCF">
            <wp:extent cx="800100" cy="728296"/>
            <wp:effectExtent l="0" t="0" r="0" b="0"/>
            <wp:docPr id="1989305780" name="Picture 1989305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800100" cy="728296"/>
                    </a:xfrm>
                    <a:prstGeom prst="rect">
                      <a:avLst/>
                    </a:prstGeom>
                  </pic:spPr>
                </pic:pic>
              </a:graphicData>
            </a:graphic>
          </wp:inline>
        </w:drawing>
      </w:r>
    </w:p>
    <w:p w14:paraId="05725175" w14:textId="73317125" w:rsidR="00CE6BB4" w:rsidRDefault="5FB09FDF" w:rsidP="007707F5">
      <w:pPr>
        <w:pStyle w:val="Heading1"/>
      </w:pPr>
      <w:r>
        <w:t xml:space="preserve">Updated economic manuals and classifications </w:t>
      </w:r>
      <w:r w:rsidR="1CB0B4B6">
        <w:t>– Stakeholder engagement background document</w:t>
      </w:r>
    </w:p>
    <w:p w14:paraId="338C5F79" w14:textId="1EBE4BE5" w:rsidR="005C5E3B" w:rsidRDefault="3AC5801D" w:rsidP="005C7789">
      <w:pPr>
        <w:pStyle w:val="Heading2"/>
      </w:pPr>
      <w:r>
        <w:t>Introductio</w:t>
      </w:r>
      <w:r w:rsidR="6A0AE2F6">
        <w:t>n</w:t>
      </w:r>
    </w:p>
    <w:p w14:paraId="4C1B1180" w14:textId="0D0F6F20" w:rsidR="00B3530C" w:rsidRDefault="463800D3" w:rsidP="3D1EE2B6">
      <w:r>
        <w:t>The</w:t>
      </w:r>
      <w:r w:rsidR="000737EA">
        <w:t xml:space="preserve"> updated</w:t>
      </w:r>
      <w:r w:rsidR="53267D4E">
        <w:t xml:space="preserve"> economic manuals</w:t>
      </w:r>
      <w:r w:rsidR="0F444E33">
        <w:t xml:space="preserve"> that underpin </w:t>
      </w:r>
      <w:r w:rsidR="33FA0657">
        <w:t xml:space="preserve">many </w:t>
      </w:r>
      <w:r w:rsidR="0F444E33">
        <w:t>key economic statistics</w:t>
      </w:r>
      <w:r w:rsidR="5169C587">
        <w:t>,</w:t>
      </w:r>
      <w:r w:rsidR="06470641">
        <w:t xml:space="preserve"> </w:t>
      </w:r>
      <w:r w:rsidR="1C305F32">
        <w:t xml:space="preserve">including </w:t>
      </w:r>
      <w:r w:rsidR="06470641">
        <w:t xml:space="preserve">the </w:t>
      </w:r>
      <w:r>
        <w:t>2025 System of National Accounts (2025 SNA) and Balance of Payments and International Investment Position Manual 7</w:t>
      </w:r>
      <w:r w:rsidRPr="3D1EE2B6">
        <w:rPr>
          <w:vertAlign w:val="superscript"/>
        </w:rPr>
        <w:t>th</w:t>
      </w:r>
      <w:r>
        <w:t xml:space="preserve"> Edition (BPM7)</w:t>
      </w:r>
      <w:r w:rsidR="02EBD0C3">
        <w:t>,</w:t>
      </w:r>
      <w:r w:rsidR="7954B40F">
        <w:t xml:space="preserve"> </w:t>
      </w:r>
      <w:r>
        <w:t xml:space="preserve">will be </w:t>
      </w:r>
      <w:r w:rsidR="19ED384B">
        <w:t xml:space="preserve">released to the </w:t>
      </w:r>
      <w:r w:rsidR="276E8A60">
        <w:t>i</w:t>
      </w:r>
      <w:r w:rsidR="19ED384B">
        <w:t xml:space="preserve">nternational </w:t>
      </w:r>
      <w:r w:rsidR="276E8A60">
        <w:t>s</w:t>
      </w:r>
      <w:r w:rsidR="19ED384B">
        <w:t xml:space="preserve">tatistical community </w:t>
      </w:r>
      <w:r w:rsidR="00FE1A28">
        <w:t>from</w:t>
      </w:r>
      <w:r w:rsidR="3434F8E0">
        <w:t xml:space="preserve"> 2025. </w:t>
      </w:r>
      <w:r w:rsidR="00F55D6E">
        <w:t xml:space="preserve">The current </w:t>
      </w:r>
      <w:r w:rsidR="0077347E">
        <w:t xml:space="preserve">versions of the </w:t>
      </w:r>
      <w:r w:rsidR="00F55D6E">
        <w:t xml:space="preserve">manuals were implemented into Australian economic statistics in 2009. </w:t>
      </w:r>
    </w:p>
    <w:p w14:paraId="09EE01D5" w14:textId="20744C59" w:rsidR="003D10F6" w:rsidRPr="003D10F6" w:rsidRDefault="003D10F6" w:rsidP="003D10F6">
      <w:r w:rsidRPr="003D10F6">
        <w:t xml:space="preserve">The </w:t>
      </w:r>
      <w:r w:rsidR="00BA203A">
        <w:t>updated manual</w:t>
      </w:r>
      <w:r w:rsidR="0077347E">
        <w:t xml:space="preserve"> changes</w:t>
      </w:r>
      <w:r w:rsidR="00BA203A">
        <w:t xml:space="preserve"> </w:t>
      </w:r>
      <w:r w:rsidRPr="003D10F6">
        <w:t>can be categorised as</w:t>
      </w:r>
      <w:r w:rsidR="00A925F8">
        <w:t>:</w:t>
      </w:r>
    </w:p>
    <w:p w14:paraId="5B5BD344" w14:textId="0E7FF194" w:rsidR="003D10F6" w:rsidRPr="003D10F6" w:rsidRDefault="003D10F6" w:rsidP="003D10F6">
      <w:pPr>
        <w:pStyle w:val="ListParagraph"/>
        <w:numPr>
          <w:ilvl w:val="0"/>
          <w:numId w:val="5"/>
        </w:numPr>
      </w:pPr>
      <w:r w:rsidRPr="003D10F6">
        <w:t>Changes to the core framework</w:t>
      </w:r>
      <w:r w:rsidR="00A925F8">
        <w:t>, which</w:t>
      </w:r>
      <w:r w:rsidRPr="003D10F6">
        <w:t xml:space="preserve"> will include expansions to the production and asset boundaries</w:t>
      </w:r>
      <w:r w:rsidR="0087243F">
        <w:t>. Changes to the core framework are required to be implemented to maintain international comparability.</w:t>
      </w:r>
    </w:p>
    <w:p w14:paraId="6CC4ABB2" w14:textId="4C327F0E" w:rsidR="003D10F6" w:rsidRPr="003D10F6" w:rsidRDefault="003D10F6" w:rsidP="003D10F6">
      <w:pPr>
        <w:pStyle w:val="ListParagraph"/>
        <w:numPr>
          <w:ilvl w:val="0"/>
          <w:numId w:val="5"/>
        </w:numPr>
      </w:pPr>
      <w:r w:rsidRPr="003D10F6">
        <w:t>Additional breakdowns and clarifications, which aim to provide clear and consistent guidance to statistical agencies on industries and technologies which have emerged since the last update</w:t>
      </w:r>
      <w:r w:rsidR="0087243F">
        <w:t>.</w:t>
      </w:r>
    </w:p>
    <w:p w14:paraId="4FFBBD41" w14:textId="413964E3" w:rsidR="003D10F6" w:rsidRPr="003D10F6" w:rsidRDefault="003D10F6" w:rsidP="003D10F6">
      <w:pPr>
        <w:pStyle w:val="ListParagraph"/>
        <w:numPr>
          <w:ilvl w:val="0"/>
          <w:numId w:val="5"/>
        </w:numPr>
      </w:pPr>
      <w:r w:rsidRPr="003D10F6">
        <w:t>Supplementary Tables</w:t>
      </w:r>
      <w:r w:rsidR="0087243F">
        <w:t xml:space="preserve"> and </w:t>
      </w:r>
      <w:r w:rsidR="00E322EE">
        <w:t>thematic</w:t>
      </w:r>
      <w:r w:rsidR="0087243F">
        <w:t xml:space="preserve"> accounts</w:t>
      </w:r>
      <w:r w:rsidRPr="003D10F6">
        <w:t xml:space="preserve"> which aim to build upon the existing conceptual framework; by disseminating detailed tables and analysis on various topics of interest such as the digital supply use tables (which we currently produce but could improve). </w:t>
      </w:r>
    </w:p>
    <w:p w14:paraId="07984E8B" w14:textId="5D637954" w:rsidR="003D10F6" w:rsidRPr="003D10F6" w:rsidRDefault="003D10F6" w:rsidP="003D10F6">
      <w:pPr>
        <w:pStyle w:val="ListParagraph"/>
        <w:numPr>
          <w:ilvl w:val="0"/>
          <w:numId w:val="5"/>
        </w:numPr>
      </w:pPr>
      <w:r w:rsidRPr="003D10F6">
        <w:t>Communication: Guidance on consistency of publication of accounts, and more user-friendly terminologies</w:t>
      </w:r>
      <w:r w:rsidR="0087243F">
        <w:t>.</w:t>
      </w:r>
    </w:p>
    <w:p w14:paraId="245385BE" w14:textId="6161FF9F" w:rsidR="00815041" w:rsidRPr="00815041" w:rsidRDefault="003D10F6" w:rsidP="00966AA0">
      <w:pPr>
        <w:pStyle w:val="ListParagraph"/>
        <w:numPr>
          <w:ilvl w:val="0"/>
          <w:numId w:val="5"/>
        </w:numPr>
      </w:pPr>
      <w:r w:rsidRPr="003D10F6">
        <w:t xml:space="preserve">New thematic accounts </w:t>
      </w:r>
      <w:r w:rsidR="00E322EE">
        <w:t>that</w:t>
      </w:r>
      <w:r w:rsidRPr="003D10F6">
        <w:t xml:space="preserve"> go beyond “GDP” to assist in providing insights into emerging areas of policy interest.</w:t>
      </w:r>
    </w:p>
    <w:p w14:paraId="3292E83B" w14:textId="77777777" w:rsidR="00BA203A" w:rsidRDefault="00BA203A" w:rsidP="00E322EE">
      <w:pPr>
        <w:pStyle w:val="ListParagraph"/>
      </w:pPr>
    </w:p>
    <w:p w14:paraId="72060C98" w14:textId="506CACAA" w:rsidR="008365D0" w:rsidRDefault="20E2E491" w:rsidP="00B3530C">
      <w:r>
        <w:t>The update has taken a themed approach</w:t>
      </w:r>
      <w:r w:rsidR="263249D4">
        <w:t>,</w:t>
      </w:r>
      <w:r w:rsidR="776C4F32">
        <w:t xml:space="preserve"> focussing on </w:t>
      </w:r>
      <w:r w:rsidR="377AB211">
        <w:t xml:space="preserve">areas where the manuals </w:t>
      </w:r>
      <w:r w:rsidR="43882A20">
        <w:t>have not kept pace with changes in contemporary econom</w:t>
      </w:r>
      <w:r w:rsidR="27CA17A1">
        <w:t>ies</w:t>
      </w:r>
      <w:r w:rsidR="43882A20">
        <w:t>. These include digitalisation</w:t>
      </w:r>
      <w:r w:rsidR="2D611656">
        <w:t>, wellbeing, environment</w:t>
      </w:r>
      <w:r w:rsidR="0041AC3C">
        <w:t>al</w:t>
      </w:r>
      <w:r w:rsidR="2D611656">
        <w:t xml:space="preserve"> sustainability, globalisation</w:t>
      </w:r>
      <w:r w:rsidR="71FE4765">
        <w:t xml:space="preserve">, </w:t>
      </w:r>
      <w:r w:rsidR="2D611656">
        <w:t>financial and international investment</w:t>
      </w:r>
      <w:r w:rsidR="71FE4765">
        <w:t xml:space="preserve"> and </w:t>
      </w:r>
      <w:r w:rsidR="2C1479DA">
        <w:t>b</w:t>
      </w:r>
      <w:r w:rsidR="71FE4765">
        <w:t>alance of payments and international trade</w:t>
      </w:r>
      <w:r w:rsidR="2D611656">
        <w:t xml:space="preserve">. </w:t>
      </w:r>
      <w:r w:rsidR="5C2D2D9E">
        <w:t xml:space="preserve">For each of these themes, additional context and </w:t>
      </w:r>
      <w:r w:rsidR="03233C04">
        <w:t xml:space="preserve">a </w:t>
      </w:r>
      <w:r w:rsidR="3B31EA11">
        <w:t>summary of key changes and recommendations are presented below.</w:t>
      </w:r>
    </w:p>
    <w:p w14:paraId="0229FA25" w14:textId="6762DAE1" w:rsidR="008A6C90" w:rsidRDefault="00204B82" w:rsidP="00B3530C">
      <w:r>
        <w:t xml:space="preserve">If you would </w:t>
      </w:r>
      <w:r w:rsidR="00BA203A">
        <w:t xml:space="preserve">like </w:t>
      </w:r>
      <w:r>
        <w:t>further information, the full details of the changes</w:t>
      </w:r>
      <w:r w:rsidR="00E70B16">
        <w:t>, including the draft 2025 SNA and BPM7</w:t>
      </w:r>
      <w:r>
        <w:t xml:space="preserve"> </w:t>
      </w:r>
      <w:r w:rsidR="00E70B16">
        <w:t>can be</w:t>
      </w:r>
      <w:r>
        <w:t xml:space="preserve"> found in the following links:</w:t>
      </w:r>
    </w:p>
    <w:p w14:paraId="4D3E4A81" w14:textId="7AC65092" w:rsidR="008A6C90" w:rsidRDefault="008A6C90" w:rsidP="00B3530C">
      <w:hyperlink r:id="rId7" w:history="1">
        <w:r w:rsidRPr="008A6C90">
          <w:rPr>
            <w:rStyle w:val="Hyperlink"/>
          </w:rPr>
          <w:t>System of National Accounts</w:t>
        </w:r>
      </w:hyperlink>
    </w:p>
    <w:p w14:paraId="5C63700C" w14:textId="56FC3875" w:rsidR="008A6C90" w:rsidRDefault="008A6C90" w:rsidP="00B3530C">
      <w:hyperlink r:id="rId8" w:history="1">
        <w:r w:rsidRPr="008A6C90">
          <w:rPr>
            <w:rStyle w:val="Hyperlink"/>
          </w:rPr>
          <w:t>BPM7: List of Proposed BPM7 Chapters</w:t>
        </w:r>
      </w:hyperlink>
    </w:p>
    <w:p w14:paraId="35C9FBE8" w14:textId="5D909A4A" w:rsidR="00EE3F22" w:rsidRPr="00CA1F43" w:rsidRDefault="00EE3F22" w:rsidP="00EE3F22">
      <w:pPr>
        <w:autoSpaceDE w:val="0"/>
        <w:autoSpaceDN w:val="0"/>
        <w:adjustRightInd w:val="0"/>
        <w:rPr>
          <w:rFonts w:eastAsia="Times New Roman" w:cstheme="minorHAnsi"/>
          <w:lang w:eastAsia="en-AU"/>
        </w:rPr>
      </w:pPr>
      <w:r w:rsidRPr="00CA1F43">
        <w:rPr>
          <w:rFonts w:cstheme="minorHAnsi"/>
          <w:color w:val="000000"/>
        </w:rPr>
        <w:lastRenderedPageBreak/>
        <w:t xml:space="preserve">Updates impacting key economic measures such as GDP </w:t>
      </w:r>
      <w:r w:rsidRPr="00D83821">
        <w:rPr>
          <w:rFonts w:cstheme="minorHAnsi"/>
          <w:color w:val="000000"/>
        </w:rPr>
        <w:t xml:space="preserve">are </w:t>
      </w:r>
      <w:r>
        <w:rPr>
          <w:rFonts w:cstheme="minorHAnsi"/>
          <w:color w:val="000000"/>
        </w:rPr>
        <w:t>crucial</w:t>
      </w:r>
      <w:r w:rsidRPr="00D83821">
        <w:rPr>
          <w:rFonts w:cstheme="minorHAnsi"/>
          <w:color w:val="000000"/>
        </w:rPr>
        <w:t xml:space="preserve"> for international comparability.</w:t>
      </w:r>
      <w:r>
        <w:rPr>
          <w:rFonts w:cstheme="minorHAnsi"/>
          <w:color w:val="000000"/>
        </w:rPr>
        <w:t xml:space="preserve"> A summary of the core changes is provided below for your information.</w:t>
      </w:r>
    </w:p>
    <w:p w14:paraId="5B7542B7" w14:textId="703DFA63" w:rsidR="00EE3F22" w:rsidRPr="00815041" w:rsidRDefault="00EE3F22" w:rsidP="00E322EE">
      <w:r>
        <w:t xml:space="preserve">Given </w:t>
      </w:r>
      <w:r>
        <w:rPr>
          <w:rFonts w:cstheme="minorHAnsi"/>
          <w:color w:val="000000"/>
        </w:rPr>
        <w:t>t</w:t>
      </w:r>
      <w:r w:rsidRPr="000F3221">
        <w:rPr>
          <w:rFonts w:cs="Arial"/>
        </w:rPr>
        <w:t xml:space="preserve">he quantity </w:t>
      </w:r>
      <w:r w:rsidR="00E322EE" w:rsidRPr="000F3221">
        <w:rPr>
          <w:rFonts w:cs="Arial"/>
        </w:rPr>
        <w:t xml:space="preserve">of </w:t>
      </w:r>
      <w:r w:rsidR="00E322EE">
        <w:rPr>
          <w:rFonts w:cs="Arial"/>
        </w:rPr>
        <w:t>changes</w:t>
      </w:r>
      <w:r>
        <w:rPr>
          <w:rFonts w:cs="Arial"/>
        </w:rPr>
        <w:t xml:space="preserve"> to the standards,</w:t>
      </w:r>
      <w:r w:rsidRPr="000F3221">
        <w:rPr>
          <w:rFonts w:cs="Arial"/>
        </w:rPr>
        <w:t xml:space="preserve"> it is unlikely the ABS will be able to implement all the recommendations for </w:t>
      </w:r>
      <w:r>
        <w:rPr>
          <w:rFonts w:cs="Arial"/>
        </w:rPr>
        <w:t xml:space="preserve">the </w:t>
      </w:r>
      <w:r w:rsidRPr="000F3221">
        <w:rPr>
          <w:rFonts w:cs="Arial"/>
        </w:rPr>
        <w:t xml:space="preserve">additional supplementary material and thematic accounts. </w:t>
      </w:r>
      <w:r w:rsidR="0077347E">
        <w:rPr>
          <w:rFonts w:cs="Arial"/>
        </w:rPr>
        <w:t xml:space="preserve">This is why we are seeking your feedback, to gather your views on </w:t>
      </w:r>
      <w:r>
        <w:t xml:space="preserve">supplementary tables and thematic accounts </w:t>
      </w:r>
      <w:r w:rsidR="00B97BD8">
        <w:t>prioritise</w:t>
      </w:r>
      <w:r w:rsidR="0077347E">
        <w:t xml:space="preserve">s. </w:t>
      </w:r>
      <w:r>
        <w:t xml:space="preserve"> The sections below provide a summary of the</w:t>
      </w:r>
      <w:r w:rsidR="0077347E">
        <w:t xml:space="preserve">se. </w:t>
      </w:r>
      <w:r>
        <w:t xml:space="preserve"> </w:t>
      </w:r>
    </w:p>
    <w:p w14:paraId="71DF333D" w14:textId="0D0BA2DE" w:rsidR="00CD36D8" w:rsidRDefault="69337CF8" w:rsidP="005C7789">
      <w:pPr>
        <w:pStyle w:val="Heading2"/>
      </w:pPr>
      <w:r>
        <w:t xml:space="preserve">Digitalisation </w:t>
      </w:r>
    </w:p>
    <w:p w14:paraId="4321D053" w14:textId="1522AFC7" w:rsidR="005C7789" w:rsidRDefault="00F55D6E" w:rsidP="005C7789">
      <w:r>
        <w:t>Since 2009</w:t>
      </w:r>
      <w:r w:rsidR="5FCFECDF">
        <w:t>, t</w:t>
      </w:r>
      <w:r w:rsidR="55A980EB">
        <w:t xml:space="preserve">here have been rapid </w:t>
      </w:r>
      <w:r w:rsidR="7377D85E">
        <w:t>advancements in</w:t>
      </w:r>
      <w:r w:rsidR="314A6C89">
        <w:t xml:space="preserve"> </w:t>
      </w:r>
      <w:r w:rsidR="5FCFECDF">
        <w:t>digitalisation</w:t>
      </w:r>
      <w:r w:rsidR="78617552">
        <w:t xml:space="preserve">. New digital products such as streaming services, cloud computing and more recently artificial intelligence have become prominent. </w:t>
      </w:r>
      <w:r w:rsidR="3C098C99">
        <w:t xml:space="preserve">Growth in ride sharing, delivery and accommodation services have been enabled by digital platforms </w:t>
      </w:r>
      <w:r w:rsidR="4CB07F90">
        <w:t>(</w:t>
      </w:r>
      <w:r w:rsidR="3C098C99">
        <w:t>e</w:t>
      </w:r>
      <w:r w:rsidR="50BA4146">
        <w:t>.</w:t>
      </w:r>
      <w:r w:rsidR="3C098C99">
        <w:t>g.</w:t>
      </w:r>
      <w:r w:rsidR="2905C3B9">
        <w:t>,</w:t>
      </w:r>
      <w:r w:rsidR="3C098C99">
        <w:t xml:space="preserve"> Uber and Airbnb</w:t>
      </w:r>
      <w:r w:rsidR="4CB07F90">
        <w:t>)</w:t>
      </w:r>
      <w:r w:rsidR="3C098C99">
        <w:t xml:space="preserve">. </w:t>
      </w:r>
      <w:r w:rsidR="1E61CD0F">
        <w:t xml:space="preserve">Data in digital format has also become increasingly important for businesses in generating </w:t>
      </w:r>
      <w:r w:rsidR="328F7D61">
        <w:t xml:space="preserve">revenue. </w:t>
      </w:r>
    </w:p>
    <w:p w14:paraId="02591894" w14:textId="70012E56" w:rsidR="00E37DA6" w:rsidRDefault="69C2EB78" w:rsidP="005C7789">
      <w:r>
        <w:t>In the current National and International Accounts, d</w:t>
      </w:r>
      <w:r w:rsidR="47EC1AC9">
        <w:t xml:space="preserve">igitalisation is not an explicit category of classification and is generally embedded in </w:t>
      </w:r>
      <w:r w:rsidR="3255EE57">
        <w:t>indust</w:t>
      </w:r>
      <w:r w:rsidR="2D2B3642">
        <w:t>ry and product dimensions. This often means that the impacts</w:t>
      </w:r>
      <w:r w:rsidR="3DDA859A">
        <w:t xml:space="preserve"> of digitalisation are difficult to see</w:t>
      </w:r>
      <w:r w:rsidR="41A1621E">
        <w:t>,</w:t>
      </w:r>
      <w:r w:rsidR="3DDA859A">
        <w:t xml:space="preserve"> </w:t>
      </w:r>
      <w:r w:rsidR="32D04275">
        <w:t>making it difficult for</w:t>
      </w:r>
      <w:r w:rsidR="28D25089">
        <w:t xml:space="preserve"> </w:t>
      </w:r>
      <w:r w:rsidR="1746458B">
        <w:t xml:space="preserve">policymakers and economic </w:t>
      </w:r>
      <w:r w:rsidR="131324D6">
        <w:t>analys</w:t>
      </w:r>
      <w:r w:rsidR="088886B8">
        <w:t>ts</w:t>
      </w:r>
      <w:r w:rsidR="1746458B">
        <w:t xml:space="preserve"> </w:t>
      </w:r>
      <w:r w:rsidR="23D34228">
        <w:t>to understand the impacts</w:t>
      </w:r>
      <w:r w:rsidR="16EA7C3D">
        <w:t xml:space="preserve">. </w:t>
      </w:r>
    </w:p>
    <w:p w14:paraId="634DD126" w14:textId="04992FF8" w:rsidR="00A925F8" w:rsidRDefault="7EF563BD" w:rsidP="005C7789">
      <w:r>
        <w:t xml:space="preserve">The most fundamental change to </w:t>
      </w:r>
      <w:r w:rsidR="1003185A">
        <w:t xml:space="preserve">address this development in </w:t>
      </w:r>
      <w:r>
        <w:t>the core framework</w:t>
      </w:r>
      <w:r w:rsidR="778E2A9D">
        <w:t xml:space="preserve"> (e.g. GDP)</w:t>
      </w:r>
      <w:r>
        <w:t xml:space="preserve"> </w:t>
      </w:r>
      <w:r w:rsidR="3900DC6A">
        <w:t>will be</w:t>
      </w:r>
      <w:r>
        <w:t xml:space="preserve"> the inclusion of data as an asset, recognisi</w:t>
      </w:r>
      <w:r w:rsidR="5427E736">
        <w:t xml:space="preserve">ng the importance of </w:t>
      </w:r>
      <w:r w:rsidR="00F55D6E">
        <w:t xml:space="preserve">own account </w:t>
      </w:r>
      <w:r w:rsidR="5427E736">
        <w:t xml:space="preserve">data </w:t>
      </w:r>
      <w:r w:rsidR="00F55D6E">
        <w:t xml:space="preserve">production </w:t>
      </w:r>
      <w:r w:rsidR="5427E736">
        <w:t xml:space="preserve">in the economy. </w:t>
      </w:r>
      <w:r w:rsidR="163A7F94">
        <w:t xml:space="preserve">Much of the focus of the new manuals will be to </w:t>
      </w:r>
      <w:r w:rsidR="5427E736">
        <w:t>provide clarifications on recording</w:t>
      </w:r>
      <w:r w:rsidR="163A7F94">
        <w:t xml:space="preserve"> for new digital products and digital intermediation platforms to improve</w:t>
      </w:r>
      <w:r w:rsidR="675C4A32">
        <w:t xml:space="preserve"> consistent</w:t>
      </w:r>
      <w:r w:rsidR="163A7F94">
        <w:t xml:space="preserve"> measurement of these across countries</w:t>
      </w:r>
      <w:r w:rsidR="0D5C6354">
        <w:t>.</w:t>
      </w:r>
      <w:r w:rsidR="1C9113B4">
        <w:t xml:space="preserve"> The manuals </w:t>
      </w:r>
      <w:r w:rsidR="3704D2D7">
        <w:t>will</w:t>
      </w:r>
      <w:r w:rsidR="1C9113B4">
        <w:t xml:space="preserve"> also propose supplementary tables which provide </w:t>
      </w:r>
      <w:r w:rsidR="45402C81">
        <w:t xml:space="preserve">a </w:t>
      </w:r>
      <w:r w:rsidR="1C9113B4">
        <w:t xml:space="preserve">“digital” lens </w:t>
      </w:r>
      <w:r w:rsidR="74490B9B">
        <w:t xml:space="preserve">to the </w:t>
      </w:r>
      <w:r w:rsidR="732C85D6">
        <w:t>economic</w:t>
      </w:r>
      <w:r w:rsidR="74490B9B">
        <w:t xml:space="preserve"> accounts </w:t>
      </w:r>
      <w:r w:rsidR="45402C81">
        <w:t xml:space="preserve">in order to improve the visibility of </w:t>
      </w:r>
      <w:r w:rsidR="17E90A5D">
        <w:t xml:space="preserve">digitalisation for users. </w:t>
      </w:r>
    </w:p>
    <w:tbl>
      <w:tblPr>
        <w:tblStyle w:val="TableGrid"/>
        <w:tblW w:w="0" w:type="auto"/>
        <w:tblLook w:val="04A0" w:firstRow="1" w:lastRow="0" w:firstColumn="1" w:lastColumn="0" w:noHBand="0" w:noVBand="1"/>
      </w:tblPr>
      <w:tblGrid>
        <w:gridCol w:w="3116"/>
        <w:gridCol w:w="3117"/>
        <w:gridCol w:w="3117"/>
      </w:tblGrid>
      <w:tr w:rsidR="001E3E71" w14:paraId="1E5C638F" w14:textId="77777777" w:rsidTr="00A925F8">
        <w:tc>
          <w:tcPr>
            <w:tcW w:w="3116" w:type="dxa"/>
            <w:shd w:val="clear" w:color="auto" w:fill="auto"/>
          </w:tcPr>
          <w:p w14:paraId="4E4A7896" w14:textId="77777777" w:rsidR="001E3E71" w:rsidRDefault="6E01F95A" w:rsidP="006F2887">
            <w:r w:rsidRPr="3D1EE2B6">
              <w:rPr>
                <w:b/>
                <w:bCs/>
              </w:rPr>
              <w:t>Change/Recommendation</w:t>
            </w:r>
          </w:p>
        </w:tc>
        <w:tc>
          <w:tcPr>
            <w:tcW w:w="3117" w:type="dxa"/>
            <w:shd w:val="clear" w:color="auto" w:fill="auto"/>
          </w:tcPr>
          <w:p w14:paraId="1A00F806" w14:textId="77777777" w:rsidR="001E3E71" w:rsidRDefault="6E01F95A" w:rsidP="006F2887">
            <w:r w:rsidRPr="3D1EE2B6">
              <w:rPr>
                <w:b/>
                <w:bCs/>
              </w:rPr>
              <w:t>New statistical output</w:t>
            </w:r>
          </w:p>
        </w:tc>
        <w:tc>
          <w:tcPr>
            <w:tcW w:w="3117" w:type="dxa"/>
            <w:shd w:val="clear" w:color="auto" w:fill="auto"/>
          </w:tcPr>
          <w:p w14:paraId="3237B661" w14:textId="77777777" w:rsidR="001E3E71" w:rsidRDefault="6E01F95A" w:rsidP="006F2887">
            <w:r w:rsidRPr="3D1EE2B6">
              <w:rPr>
                <w:b/>
                <w:bCs/>
              </w:rPr>
              <w:t>Benefits</w:t>
            </w:r>
          </w:p>
        </w:tc>
      </w:tr>
      <w:tr w:rsidR="008C79D7" w14:paraId="4A04EB33" w14:textId="77777777" w:rsidTr="00A925F8">
        <w:tc>
          <w:tcPr>
            <w:tcW w:w="3116" w:type="dxa"/>
            <w:shd w:val="clear" w:color="auto" w:fill="auto"/>
          </w:tcPr>
          <w:p w14:paraId="596420E4" w14:textId="04A62A1A" w:rsidR="008C79D7" w:rsidRDefault="0BA3CE48" w:rsidP="008C79D7">
            <w:r>
              <w:t>Inclusion of Data as an asset</w:t>
            </w:r>
          </w:p>
        </w:tc>
        <w:tc>
          <w:tcPr>
            <w:tcW w:w="3117" w:type="dxa"/>
            <w:shd w:val="clear" w:color="auto" w:fill="auto"/>
          </w:tcPr>
          <w:p w14:paraId="53891C7F" w14:textId="401197D8" w:rsidR="00A925F8" w:rsidRPr="0087243F" w:rsidRDefault="00A925F8" w:rsidP="00400F67">
            <w:pPr>
              <w:rPr>
                <w:u w:val="single"/>
              </w:rPr>
            </w:pPr>
            <w:r w:rsidRPr="0087243F">
              <w:rPr>
                <w:u w:val="single"/>
              </w:rPr>
              <w:t>Change to core framework</w:t>
            </w:r>
          </w:p>
          <w:p w14:paraId="687F7EF6" w14:textId="77777777" w:rsidR="00A925F8" w:rsidRDefault="00A925F8" w:rsidP="00400F67"/>
          <w:p w14:paraId="1424551C" w14:textId="4E1721FB" w:rsidR="00400F67" w:rsidRDefault="4E6BE326" w:rsidP="00400F67">
            <w:r>
              <w:t>New line item for “Data</w:t>
            </w:r>
            <w:r w:rsidR="5ADBC409">
              <w:t xml:space="preserve"> and Databases</w:t>
            </w:r>
            <w:r>
              <w:t xml:space="preserve">” to be included </w:t>
            </w:r>
            <w:r w:rsidR="2CFAA0A3">
              <w:t xml:space="preserve">in the core accounts </w:t>
            </w:r>
            <w:r w:rsidR="6B2AE480">
              <w:t>under</w:t>
            </w:r>
            <w:r w:rsidR="2CFAA0A3">
              <w:t>:</w:t>
            </w:r>
          </w:p>
          <w:p w14:paraId="7D0BADEA" w14:textId="6665DA50" w:rsidR="008C79D7" w:rsidRPr="009650AC" w:rsidRDefault="0BA3CE48" w:rsidP="009650AC">
            <w:pPr>
              <w:pStyle w:val="ListParagraph"/>
              <w:numPr>
                <w:ilvl w:val="0"/>
                <w:numId w:val="2"/>
              </w:numPr>
            </w:pPr>
            <w:r>
              <w:t>Gross Fixed Capital Formation</w:t>
            </w:r>
            <w:r w:rsidR="454BDB42">
              <w:t xml:space="preserve"> -</w:t>
            </w:r>
            <w:r w:rsidR="2AF8FC6B">
              <w:t xml:space="preserve"> </w:t>
            </w:r>
            <w:r>
              <w:t>Intellectual Property Products.</w:t>
            </w:r>
          </w:p>
          <w:p w14:paraId="1D6567D0" w14:textId="412EE01E" w:rsidR="008C79D7" w:rsidRPr="000850F0" w:rsidRDefault="662C8D3E" w:rsidP="000850F0">
            <w:pPr>
              <w:pStyle w:val="ListParagraph"/>
              <w:numPr>
                <w:ilvl w:val="0"/>
                <w:numId w:val="2"/>
              </w:numPr>
            </w:pPr>
            <w:r>
              <w:t>B</w:t>
            </w:r>
            <w:r w:rsidR="71694954">
              <w:t>alance sheets of respective sectors</w:t>
            </w:r>
            <w:r>
              <w:t xml:space="preserve"> – Intellectual Property Products</w:t>
            </w:r>
            <w:r w:rsidR="043C70CE">
              <w:t xml:space="preserve"> </w:t>
            </w:r>
          </w:p>
          <w:p w14:paraId="714EB0A7" w14:textId="53787F9A" w:rsidR="008C79D7" w:rsidRPr="000850F0" w:rsidRDefault="008C79D7" w:rsidP="4E991560">
            <w:pPr>
              <w:pStyle w:val="ListParagraph"/>
              <w:ind w:left="360"/>
            </w:pPr>
          </w:p>
        </w:tc>
        <w:tc>
          <w:tcPr>
            <w:tcW w:w="3117" w:type="dxa"/>
            <w:shd w:val="clear" w:color="auto" w:fill="auto"/>
          </w:tcPr>
          <w:p w14:paraId="23DD27D9" w14:textId="21D0A79A" w:rsidR="008C79D7" w:rsidRPr="009376A8" w:rsidRDefault="34E7D1ED" w:rsidP="009376A8">
            <w:r>
              <w:t>M</w:t>
            </w:r>
            <w:r w:rsidR="11732C8F">
              <w:t>ore complete measure</w:t>
            </w:r>
            <w:r w:rsidR="55FB0E76">
              <w:t>s</w:t>
            </w:r>
            <w:r w:rsidR="11732C8F">
              <w:t xml:space="preserve"> of GDP and Net worth</w:t>
            </w:r>
            <w:r w:rsidR="3187B5D7">
              <w:t>,</w:t>
            </w:r>
            <w:r w:rsidR="11732C8F">
              <w:t xml:space="preserve"> which take account of productive activities.</w:t>
            </w:r>
          </w:p>
          <w:p w14:paraId="1CD3892D" w14:textId="77777777" w:rsidR="009376A8" w:rsidRDefault="009376A8" w:rsidP="009376A8"/>
          <w:p w14:paraId="7ABD44CA" w14:textId="6E659603" w:rsidR="008C79D7" w:rsidRPr="009376A8" w:rsidRDefault="11732C8F" w:rsidP="009376A8">
            <w:r>
              <w:t xml:space="preserve">Enable analysis of </w:t>
            </w:r>
            <w:r w:rsidR="373D4478">
              <w:t>“</w:t>
            </w:r>
            <w:r>
              <w:t>Data</w:t>
            </w:r>
            <w:r w:rsidR="70AE4188">
              <w:t>”</w:t>
            </w:r>
            <w:r>
              <w:t xml:space="preserve"> assets and the</w:t>
            </w:r>
            <w:r w:rsidR="157E9ABE">
              <w:t>ir</w:t>
            </w:r>
            <w:r>
              <w:t xml:space="preserve"> impact on the economy. </w:t>
            </w:r>
          </w:p>
        </w:tc>
      </w:tr>
      <w:tr w:rsidR="008C79D7" w14:paraId="273A3584" w14:textId="77777777" w:rsidTr="00A925F8">
        <w:tc>
          <w:tcPr>
            <w:tcW w:w="3116" w:type="dxa"/>
            <w:shd w:val="clear" w:color="auto" w:fill="auto"/>
          </w:tcPr>
          <w:p w14:paraId="39BFDA12" w14:textId="1E47790D" w:rsidR="008C79D7" w:rsidRDefault="0BA3CE48" w:rsidP="008C79D7">
            <w:r>
              <w:t>Clarification of recording of digital products and digital intermediation platforms</w:t>
            </w:r>
          </w:p>
        </w:tc>
        <w:tc>
          <w:tcPr>
            <w:tcW w:w="3117" w:type="dxa"/>
            <w:shd w:val="clear" w:color="auto" w:fill="auto"/>
          </w:tcPr>
          <w:p w14:paraId="646120DC" w14:textId="4DB5E4C7" w:rsidR="00A925F8" w:rsidRPr="0087243F" w:rsidRDefault="00A925F8" w:rsidP="155876D8">
            <w:pPr>
              <w:rPr>
                <w:u w:val="single"/>
              </w:rPr>
            </w:pPr>
            <w:r w:rsidRPr="0087243F">
              <w:rPr>
                <w:u w:val="single"/>
              </w:rPr>
              <w:t>Change to core framework</w:t>
            </w:r>
          </w:p>
          <w:p w14:paraId="2FD6338F" w14:textId="77777777" w:rsidR="00A925F8" w:rsidRDefault="00A925F8" w:rsidP="155876D8"/>
          <w:p w14:paraId="1C19E1B3" w14:textId="7D368696" w:rsidR="008C79D7" w:rsidRDefault="04235D95" w:rsidP="155876D8">
            <w:r>
              <w:t>New “O</w:t>
            </w:r>
            <w:r w:rsidR="57E4FB71">
              <w:t>f</w:t>
            </w:r>
            <w:r>
              <w:t xml:space="preserve"> which” item for Artificial Intelligence </w:t>
            </w:r>
            <w:r w:rsidR="2294E8A3">
              <w:t xml:space="preserve">to be included under Computer Software. </w:t>
            </w:r>
          </w:p>
          <w:p w14:paraId="747939AB" w14:textId="7E6BC30E" w:rsidR="3644DA52" w:rsidRDefault="3644DA52" w:rsidP="3644DA52"/>
          <w:p w14:paraId="35F13E25" w14:textId="5802456C" w:rsidR="008C79D7" w:rsidRDefault="00D9BFE1" w:rsidP="3644DA52">
            <w:r>
              <w:t xml:space="preserve">New supplementary table on the </w:t>
            </w:r>
            <w:r w:rsidR="345E051E">
              <w:t>provision and use of “Free” digital products.</w:t>
            </w:r>
          </w:p>
          <w:p w14:paraId="31126C38" w14:textId="39C45342" w:rsidR="008C79D7" w:rsidRDefault="008C79D7" w:rsidP="3644DA52"/>
          <w:p w14:paraId="01458064" w14:textId="4029C822" w:rsidR="008C79D7" w:rsidRDefault="70073B51" w:rsidP="008C79D7">
            <w:r>
              <w:t>Expanded industry classification to separately identify digital intermediatio</w:t>
            </w:r>
            <w:r w:rsidR="0E4F30E3">
              <w:t>n activities.</w:t>
            </w:r>
          </w:p>
          <w:p w14:paraId="101DB684" w14:textId="519C7F1E" w:rsidR="008C79D7" w:rsidRDefault="008C79D7" w:rsidP="008C79D7"/>
        </w:tc>
        <w:tc>
          <w:tcPr>
            <w:tcW w:w="3117" w:type="dxa"/>
            <w:shd w:val="clear" w:color="auto" w:fill="auto"/>
          </w:tcPr>
          <w:p w14:paraId="5EEF8E7D" w14:textId="12F9BFA5" w:rsidR="008C79D7" w:rsidRPr="00A5361B" w:rsidRDefault="58DDA268" w:rsidP="00A5361B">
            <w:r>
              <w:lastRenderedPageBreak/>
              <w:t>M</w:t>
            </w:r>
            <w:r w:rsidR="2BCBA67D">
              <w:t>ore complete measure</w:t>
            </w:r>
            <w:r w:rsidR="0324CD83">
              <w:t>s</w:t>
            </w:r>
            <w:r w:rsidR="2BCBA67D">
              <w:t xml:space="preserve"> of GDP and Net worth which takes</w:t>
            </w:r>
            <w:r w:rsidR="720425F8">
              <w:t xml:space="preserve"> </w:t>
            </w:r>
            <w:r w:rsidR="2BCBA67D">
              <w:t xml:space="preserve">account of new digital products and platforms. </w:t>
            </w:r>
            <w:r w:rsidR="30B53111">
              <w:t xml:space="preserve">Enables </w:t>
            </w:r>
            <w:r w:rsidR="735290FC">
              <w:t xml:space="preserve">improved analysis of </w:t>
            </w:r>
            <w:r w:rsidR="735290FC">
              <w:lastRenderedPageBreak/>
              <w:t xml:space="preserve">the impacts of digitalisation on the economy. </w:t>
            </w:r>
          </w:p>
        </w:tc>
      </w:tr>
      <w:tr w:rsidR="008C79D7" w14:paraId="26BFA15F" w14:textId="77777777" w:rsidTr="00A925F8">
        <w:tc>
          <w:tcPr>
            <w:tcW w:w="3116" w:type="dxa"/>
            <w:shd w:val="clear" w:color="auto" w:fill="auto"/>
          </w:tcPr>
          <w:p w14:paraId="7F23D633" w14:textId="4F8020EE" w:rsidR="008C79D7" w:rsidRDefault="0BA3CE48" w:rsidP="008C79D7">
            <w:r>
              <w:lastRenderedPageBreak/>
              <w:t>Digital supply use tables</w:t>
            </w:r>
          </w:p>
        </w:tc>
        <w:tc>
          <w:tcPr>
            <w:tcW w:w="3117" w:type="dxa"/>
            <w:shd w:val="clear" w:color="auto" w:fill="auto"/>
          </w:tcPr>
          <w:p w14:paraId="42377109" w14:textId="63B3D776" w:rsidR="008C79D7" w:rsidRDefault="5D693E18" w:rsidP="5BD8653F">
            <w:r>
              <w:t>New supplementary table</w:t>
            </w:r>
            <w:r w:rsidR="00D95914">
              <w:t>s or extended accounts</w:t>
            </w:r>
            <w:r>
              <w:t xml:space="preserve"> showing digital industries and products and how they interact to generate economic activity. </w:t>
            </w:r>
          </w:p>
          <w:p w14:paraId="01D45EE1" w14:textId="57082490" w:rsidR="008C79D7" w:rsidRDefault="008C79D7" w:rsidP="5BD8653F"/>
          <w:p w14:paraId="290D96FC" w14:textId="19699BFF" w:rsidR="008C79D7" w:rsidRDefault="25D5FAB5" w:rsidP="008C79D7">
            <w:r>
              <w:t xml:space="preserve">Revised industry classification will </w:t>
            </w:r>
            <w:r w:rsidR="5FC9C6EF">
              <w:t>separately identify digital industries.</w:t>
            </w:r>
          </w:p>
          <w:p w14:paraId="17D06027" w14:textId="28DB39AA" w:rsidR="008C79D7" w:rsidRDefault="008C79D7" w:rsidP="008C79D7"/>
          <w:p w14:paraId="4FA994AD" w14:textId="50EA1B55" w:rsidR="008C79D7" w:rsidRDefault="4469F4D6" w:rsidP="008C79D7">
            <w:r w:rsidRPr="4E991560">
              <w:rPr>
                <w:u w:val="single"/>
              </w:rPr>
              <w:t>Note:</w:t>
            </w:r>
            <w:r>
              <w:t xml:space="preserve"> This will build on work already undertaken by the ABS </w:t>
            </w:r>
            <w:r w:rsidR="1075FFB2">
              <w:t xml:space="preserve">on measuring </w:t>
            </w:r>
            <w:hyperlink r:id="rId9">
              <w:r w:rsidR="1075FFB2" w:rsidRPr="4E991560">
                <w:rPr>
                  <w:rStyle w:val="Hyperlink"/>
                </w:rPr>
                <w:t>Digital activity</w:t>
              </w:r>
            </w:hyperlink>
            <w:r w:rsidR="1075FFB2">
              <w:t xml:space="preserve">. </w:t>
            </w:r>
          </w:p>
          <w:p w14:paraId="1CDD6D26" w14:textId="35C8114A" w:rsidR="008C79D7" w:rsidRDefault="008C79D7" w:rsidP="008C79D7"/>
        </w:tc>
        <w:tc>
          <w:tcPr>
            <w:tcW w:w="3117" w:type="dxa"/>
            <w:shd w:val="clear" w:color="auto" w:fill="auto"/>
          </w:tcPr>
          <w:p w14:paraId="6570DB9C" w14:textId="2E081133" w:rsidR="007318A9" w:rsidRDefault="6C2C1E08" w:rsidP="008C79D7">
            <w:r>
              <w:t>Increase the visibility of digitalisation</w:t>
            </w:r>
            <w:r w:rsidR="7DF38163">
              <w:t xml:space="preserve"> which will enable improved analysis</w:t>
            </w:r>
            <w:r w:rsidR="39788F66">
              <w:t xml:space="preserve">. </w:t>
            </w:r>
          </w:p>
          <w:p w14:paraId="22515F3E" w14:textId="145BC3F6" w:rsidR="008C79D7" w:rsidRDefault="39788F66" w:rsidP="008C79D7">
            <w:r>
              <w:t xml:space="preserve">The supplementary table will </w:t>
            </w:r>
            <w:r w:rsidR="241773BF">
              <w:t>us</w:t>
            </w:r>
            <w:r>
              <w:t>e</w:t>
            </w:r>
            <w:r w:rsidR="241773BF">
              <w:t xml:space="preserve"> internationally agreed definitions of digital products and industries</w:t>
            </w:r>
            <w:r w:rsidR="7DF38163">
              <w:t xml:space="preserve"> to enable comparison across countries.</w:t>
            </w:r>
          </w:p>
        </w:tc>
      </w:tr>
      <w:tr w:rsidR="00393BDB" w14:paraId="1C88275F" w14:textId="77777777" w:rsidTr="00A925F8">
        <w:tc>
          <w:tcPr>
            <w:tcW w:w="3116" w:type="dxa"/>
            <w:shd w:val="clear" w:color="auto" w:fill="auto"/>
          </w:tcPr>
          <w:p w14:paraId="3CFA79B6" w14:textId="73E35051" w:rsidR="00393BDB" w:rsidRDefault="5DA5C640" w:rsidP="00393BDB">
            <w:r>
              <w:t xml:space="preserve">Digital Trade </w:t>
            </w:r>
            <w:r w:rsidR="128FD121">
              <w:t>t</w:t>
            </w:r>
            <w:r>
              <w:t>ables</w:t>
            </w:r>
          </w:p>
        </w:tc>
        <w:tc>
          <w:tcPr>
            <w:tcW w:w="3117" w:type="dxa"/>
            <w:shd w:val="clear" w:color="auto" w:fill="auto"/>
          </w:tcPr>
          <w:p w14:paraId="701C1D3C" w14:textId="6EB00899" w:rsidR="00393BDB" w:rsidRDefault="5DA5C640" w:rsidP="00393BDB">
            <w:r>
              <w:t xml:space="preserve">New supplementary table on Digital Trade. The table will show imports and exports broken down by trade which is “Digitally ordered”, “Digitally delivered” and additional breakdowns of goods and services provided through Digital Intermediation Platforms. </w:t>
            </w:r>
          </w:p>
        </w:tc>
        <w:tc>
          <w:tcPr>
            <w:tcW w:w="3117" w:type="dxa"/>
            <w:shd w:val="clear" w:color="auto" w:fill="auto"/>
          </w:tcPr>
          <w:p w14:paraId="58AC1255" w14:textId="77777777" w:rsidR="00393BDB" w:rsidRDefault="5DA5C640" w:rsidP="00393BDB">
            <w:r>
              <w:t xml:space="preserve">Increase the visibility of digitalisation which will enable improved analysis. </w:t>
            </w:r>
          </w:p>
          <w:p w14:paraId="019A6E5A" w14:textId="5C4838EB" w:rsidR="00393BDB" w:rsidRDefault="5DA5C640" w:rsidP="00393BDB">
            <w:r>
              <w:t>The supplementary table will use internationally agreed definitions of digital products and industries to enable comparison across countries.</w:t>
            </w:r>
          </w:p>
        </w:tc>
      </w:tr>
    </w:tbl>
    <w:p w14:paraId="167C93A2" w14:textId="1535A7C5" w:rsidR="5BD8653F" w:rsidRDefault="5BD8653F"/>
    <w:p w14:paraId="3C2E57CA" w14:textId="73B460A7" w:rsidR="005C7789" w:rsidRDefault="69337CF8" w:rsidP="005C7789">
      <w:pPr>
        <w:pStyle w:val="Heading2"/>
      </w:pPr>
      <w:r>
        <w:t>Wellbeing</w:t>
      </w:r>
      <w:r w:rsidR="7DC0030B">
        <w:t xml:space="preserve"> </w:t>
      </w:r>
    </w:p>
    <w:p w14:paraId="1354A742" w14:textId="7D968955" w:rsidR="00FC4BD3" w:rsidRDefault="7B8D418E" w:rsidP="00ED51BB">
      <w:r>
        <w:t>Key e</w:t>
      </w:r>
      <w:r w:rsidR="2C21995B">
        <w:t xml:space="preserve">conomic aggregates such as GDP are analytically useful </w:t>
      </w:r>
      <w:r w:rsidR="48ADFB01">
        <w:t xml:space="preserve">to </w:t>
      </w:r>
      <w:r w:rsidR="50D954D3">
        <w:t>measure</w:t>
      </w:r>
      <w:r w:rsidR="2C21995B">
        <w:t xml:space="preserve"> </w:t>
      </w:r>
      <w:r w:rsidR="07EEB8D0">
        <w:t xml:space="preserve">the economic performance of a country. </w:t>
      </w:r>
      <w:r w:rsidR="4F071213">
        <w:t>O</w:t>
      </w:r>
      <w:r w:rsidR="07EEB8D0">
        <w:t>ne of the limitations of these measures is</w:t>
      </w:r>
      <w:r w:rsidR="69E27754">
        <w:t xml:space="preserve"> that</w:t>
      </w:r>
      <w:r w:rsidR="07EEB8D0">
        <w:t xml:space="preserve"> they </w:t>
      </w:r>
      <w:r w:rsidR="4F071213">
        <w:t xml:space="preserve">were </w:t>
      </w:r>
      <w:r w:rsidR="7978F555">
        <w:t xml:space="preserve">never designed to </w:t>
      </w:r>
      <w:r w:rsidR="6434F98F">
        <w:t>answer</w:t>
      </w:r>
      <w:r w:rsidR="33B37649">
        <w:t xml:space="preserve"> questions about the </w:t>
      </w:r>
      <w:r w:rsidR="0E65E3E4">
        <w:t xml:space="preserve">broader </w:t>
      </w:r>
      <w:r w:rsidR="33B37649">
        <w:t>wellbeing of individuals</w:t>
      </w:r>
      <w:r w:rsidR="60D3FBAF">
        <w:t xml:space="preserve">. There has </w:t>
      </w:r>
      <w:r w:rsidR="10BC0853">
        <w:t xml:space="preserve">been </w:t>
      </w:r>
      <w:r w:rsidR="60D3FBAF">
        <w:t xml:space="preserve">broad demand for measures </w:t>
      </w:r>
      <w:r w:rsidR="00F20D83">
        <w:t xml:space="preserve">that </w:t>
      </w:r>
      <w:r w:rsidR="60D3FBAF">
        <w:t>go beyond the traditional economic aggregates</w:t>
      </w:r>
      <w:r w:rsidR="713183BE">
        <w:t xml:space="preserve"> including information on how income and wealth </w:t>
      </w:r>
      <w:r w:rsidR="21EEF144">
        <w:t xml:space="preserve">are </w:t>
      </w:r>
      <w:r w:rsidR="713183BE">
        <w:t xml:space="preserve">distributed amongst </w:t>
      </w:r>
      <w:r w:rsidR="22DDAD82">
        <w:t>society, employment opportunities and access to basic goods and services.</w:t>
      </w:r>
    </w:p>
    <w:p w14:paraId="2A722098" w14:textId="04FDC63C" w:rsidR="00ED51BB" w:rsidRDefault="6F8232D5" w:rsidP="00C97AEE">
      <w:r>
        <w:t xml:space="preserve">The new manuals </w:t>
      </w:r>
      <w:r w:rsidR="3B5AB2D6">
        <w:t>will</w:t>
      </w:r>
      <w:r>
        <w:t xml:space="preserve"> </w:t>
      </w:r>
      <w:r w:rsidR="2462FF7D">
        <w:t>broaden</w:t>
      </w:r>
      <w:r w:rsidR="32117597">
        <w:t xml:space="preserve"> the framework for National Accounts to</w:t>
      </w:r>
      <w:r w:rsidR="3B4D9E70">
        <w:t xml:space="preserve"> </w:t>
      </w:r>
      <w:r w:rsidR="7D6B0A89">
        <w:t>include</w:t>
      </w:r>
      <w:r w:rsidR="11303D11">
        <w:t xml:space="preserve"> complimentary</w:t>
      </w:r>
      <w:r w:rsidR="7D6B0A89">
        <w:t xml:space="preserve"> </w:t>
      </w:r>
      <w:r w:rsidR="3B4D9E70">
        <w:t xml:space="preserve">measures of </w:t>
      </w:r>
      <w:r w:rsidR="61B565ED">
        <w:t xml:space="preserve">wellbeing. </w:t>
      </w:r>
      <w:r w:rsidR="6ACDC775">
        <w:t xml:space="preserve">Some of these issues will be addressed through the sequence of economic accounts such as </w:t>
      </w:r>
      <w:r w:rsidR="2F7531A3">
        <w:t xml:space="preserve">the distribution of household income, consumption, saving and wealth, and a </w:t>
      </w:r>
      <w:r w:rsidR="2F7531A3">
        <w:lastRenderedPageBreak/>
        <w:t xml:space="preserve">broader set of standard tables for labour input in the form of labour accounts. </w:t>
      </w:r>
      <w:r w:rsidR="02BD660B">
        <w:t>The new manuals will also have recommendations for extended accounts</w:t>
      </w:r>
      <w:r w:rsidR="140162EA">
        <w:t xml:space="preserve"> </w:t>
      </w:r>
      <w:r w:rsidR="1FFD73BF">
        <w:t>to provide more statistics</w:t>
      </w:r>
      <w:r w:rsidR="02BD660B">
        <w:t xml:space="preserve"> relating to </w:t>
      </w:r>
      <w:r w:rsidR="70AD41BE">
        <w:t>education</w:t>
      </w:r>
      <w:r w:rsidR="12E4C29F">
        <w:t xml:space="preserve"> and training</w:t>
      </w:r>
      <w:r w:rsidR="70AD41BE">
        <w:t xml:space="preserve">, health </w:t>
      </w:r>
      <w:r w:rsidR="12E4C29F">
        <w:t xml:space="preserve">care and </w:t>
      </w:r>
      <w:r w:rsidR="460C8CF3">
        <w:t>human capital</w:t>
      </w:r>
      <w:r w:rsidR="53794F3F">
        <w:t xml:space="preserve"> that are linked to the National Accounts framework</w:t>
      </w:r>
      <w:r w:rsidR="460C8CF3">
        <w:t xml:space="preserve">. </w:t>
      </w:r>
    </w:p>
    <w:tbl>
      <w:tblPr>
        <w:tblStyle w:val="TableGrid"/>
        <w:tblW w:w="0" w:type="auto"/>
        <w:tblLook w:val="04A0" w:firstRow="1" w:lastRow="0" w:firstColumn="1" w:lastColumn="0" w:noHBand="0" w:noVBand="1"/>
      </w:tblPr>
      <w:tblGrid>
        <w:gridCol w:w="3116"/>
        <w:gridCol w:w="3117"/>
        <w:gridCol w:w="3117"/>
      </w:tblGrid>
      <w:tr w:rsidR="00346DB8" w14:paraId="45A35D20" w14:textId="77777777" w:rsidTr="4E991560">
        <w:tc>
          <w:tcPr>
            <w:tcW w:w="3116" w:type="dxa"/>
          </w:tcPr>
          <w:p w14:paraId="1DCB628E" w14:textId="77777777" w:rsidR="00346DB8" w:rsidRDefault="583EF302" w:rsidP="006F2887">
            <w:r w:rsidRPr="3D1EE2B6">
              <w:rPr>
                <w:b/>
                <w:bCs/>
              </w:rPr>
              <w:t>Change/Recommendation</w:t>
            </w:r>
          </w:p>
        </w:tc>
        <w:tc>
          <w:tcPr>
            <w:tcW w:w="3117" w:type="dxa"/>
          </w:tcPr>
          <w:p w14:paraId="1E9095F7" w14:textId="77777777" w:rsidR="00346DB8" w:rsidRDefault="583EF302" w:rsidP="006F2887">
            <w:r w:rsidRPr="3D1EE2B6">
              <w:rPr>
                <w:b/>
                <w:bCs/>
              </w:rPr>
              <w:t>New statistical output</w:t>
            </w:r>
          </w:p>
        </w:tc>
        <w:tc>
          <w:tcPr>
            <w:tcW w:w="3117" w:type="dxa"/>
          </w:tcPr>
          <w:p w14:paraId="2BD5D6EF" w14:textId="77777777" w:rsidR="00346DB8" w:rsidRDefault="583EF302" w:rsidP="006F2887">
            <w:r w:rsidRPr="3D1EE2B6">
              <w:rPr>
                <w:b/>
                <w:bCs/>
              </w:rPr>
              <w:t>Benefits</w:t>
            </w:r>
          </w:p>
        </w:tc>
      </w:tr>
      <w:tr w:rsidR="00346DB8" w:rsidRPr="000850F0" w14:paraId="0BA8C910" w14:textId="77777777" w:rsidTr="00D95914">
        <w:tc>
          <w:tcPr>
            <w:tcW w:w="3116" w:type="dxa"/>
            <w:shd w:val="clear" w:color="auto" w:fill="auto"/>
          </w:tcPr>
          <w:p w14:paraId="27386759" w14:textId="6CE934FC" w:rsidR="00346DB8" w:rsidRDefault="6FC50313" w:rsidP="006F2887">
            <w:r>
              <w:t xml:space="preserve">Distribution </w:t>
            </w:r>
            <w:r w:rsidR="475F9517">
              <w:t xml:space="preserve">Accounts </w:t>
            </w:r>
          </w:p>
        </w:tc>
        <w:tc>
          <w:tcPr>
            <w:tcW w:w="3117" w:type="dxa"/>
            <w:shd w:val="clear" w:color="auto" w:fill="auto"/>
          </w:tcPr>
          <w:p w14:paraId="5228B9DF" w14:textId="34CB7D46" w:rsidR="00346DB8" w:rsidRDefault="0087243F" w:rsidP="004F60F4">
            <w:r>
              <w:t>Extended accounts</w:t>
            </w:r>
            <w:r w:rsidR="62A41255">
              <w:t xml:space="preserve"> </w:t>
            </w:r>
            <w:r w:rsidR="392A75F7">
              <w:t xml:space="preserve">which present the </w:t>
            </w:r>
            <w:r w:rsidR="15A4900C">
              <w:t>d</w:t>
            </w:r>
            <w:r w:rsidR="392A75F7">
              <w:t xml:space="preserve">istribution of household income, consumption, saving and wealth. </w:t>
            </w:r>
          </w:p>
          <w:p w14:paraId="4414E837" w14:textId="1128B02D" w:rsidR="003A7131" w:rsidRPr="004F60F4" w:rsidRDefault="3531E93F" w:rsidP="004F60F4">
            <w:r>
              <w:t>Th</w:t>
            </w:r>
            <w:r w:rsidR="3C39402F">
              <w:t xml:space="preserve">e ABS </w:t>
            </w:r>
            <w:r w:rsidR="00F55D6E">
              <w:t xml:space="preserve">has developed a set of Distribution Accounts, </w:t>
            </w:r>
            <w:proofErr w:type="gramStart"/>
            <w:r w:rsidR="00F55D6E">
              <w:t>however</w:t>
            </w:r>
            <w:proofErr w:type="gramEnd"/>
            <w:r w:rsidR="00F55D6E">
              <w:t xml:space="preserve"> </w:t>
            </w:r>
            <w:r w:rsidR="27FA8E8D">
              <w:t>is</w:t>
            </w:r>
            <w:r>
              <w:t xml:space="preserve"> highly dependent on the</w:t>
            </w:r>
            <w:r w:rsidR="27FA8E8D">
              <w:t xml:space="preserve"> </w:t>
            </w:r>
            <w:r>
              <w:t xml:space="preserve">Household Expenditure Survey and the Survey of Income and Housing. The new SNA has proposed annual updates </w:t>
            </w:r>
            <w:r w:rsidR="633A77E6">
              <w:t xml:space="preserve">that make </w:t>
            </w:r>
            <w:r>
              <w:t>greater use of admin data and modelling techniques to compile more frequent estimates.</w:t>
            </w:r>
          </w:p>
          <w:p w14:paraId="1C58D7B2" w14:textId="3994A543" w:rsidR="003A7131" w:rsidRPr="004F60F4" w:rsidRDefault="003A7131" w:rsidP="004F60F4"/>
        </w:tc>
        <w:tc>
          <w:tcPr>
            <w:tcW w:w="3117" w:type="dxa"/>
            <w:shd w:val="clear" w:color="auto" w:fill="auto"/>
          </w:tcPr>
          <w:p w14:paraId="22419AE0" w14:textId="16AA9250" w:rsidR="00346DB8" w:rsidRDefault="10BA0331" w:rsidP="004A11CA">
            <w:r>
              <w:t xml:space="preserve">Provides broader insights into </w:t>
            </w:r>
            <w:r w:rsidR="3590E82E">
              <w:t xml:space="preserve">the wellbeing of households. </w:t>
            </w:r>
            <w:r w:rsidR="7F3556F8">
              <w:t>Enables users to analyse the impacts of</w:t>
            </w:r>
            <w:r w:rsidR="60AEAB5A">
              <w:t xml:space="preserve"> changes in the economy on different groups of households.</w:t>
            </w:r>
          </w:p>
          <w:p w14:paraId="168872CC" w14:textId="03D4EC63" w:rsidR="00693576" w:rsidRPr="004A11CA" w:rsidRDefault="00693576" w:rsidP="004A11CA"/>
        </w:tc>
      </w:tr>
      <w:tr w:rsidR="00346DB8" w14:paraId="503B89ED" w14:textId="77777777" w:rsidTr="4E991560">
        <w:trPr>
          <w:trHeight w:val="485"/>
        </w:trPr>
        <w:tc>
          <w:tcPr>
            <w:tcW w:w="3116" w:type="dxa"/>
          </w:tcPr>
          <w:p w14:paraId="1F3D8724" w14:textId="4FD23104" w:rsidR="00346DB8" w:rsidRDefault="7DC0030B" w:rsidP="006F2887">
            <w:r>
              <w:t>Education and Training</w:t>
            </w:r>
          </w:p>
        </w:tc>
        <w:tc>
          <w:tcPr>
            <w:tcW w:w="3117" w:type="dxa"/>
          </w:tcPr>
          <w:p w14:paraId="45E9F09E" w14:textId="453A648F" w:rsidR="00BE1ABB" w:rsidRPr="00BE1ABB" w:rsidRDefault="7BB5D976" w:rsidP="00BE1ABB">
            <w:r>
              <w:t>A satellite account for education and training</w:t>
            </w:r>
            <w:r w:rsidR="4ADE9D0B">
              <w:t xml:space="preserve"> based on </w:t>
            </w:r>
            <w:hyperlink r:id="rId10">
              <w:r w:rsidR="7DB2B788" w:rsidRPr="3D1EE2B6">
                <w:rPr>
                  <w:rStyle w:val="Hyperlink"/>
                </w:rPr>
                <w:t>UNECE Satellite Accounts for Education and Training (SAET)</w:t>
              </w:r>
            </w:hyperlink>
            <w:r w:rsidR="7DB2B788">
              <w:t xml:space="preserve">. The </w:t>
            </w:r>
            <w:r w:rsidR="456B4170">
              <w:t>satellite</w:t>
            </w:r>
            <w:r w:rsidR="64F9A5D6">
              <w:t xml:space="preserve"> account</w:t>
            </w:r>
            <w:r w:rsidR="456B4170">
              <w:t xml:space="preserve"> would comprise additional tables</w:t>
            </w:r>
            <w:r w:rsidR="64F9A5D6">
              <w:t xml:space="preserve"> </w:t>
            </w:r>
            <w:r w:rsidR="12803FC3">
              <w:t>with</w:t>
            </w:r>
            <w:r w:rsidR="456B4170">
              <w:t xml:space="preserve"> estimates on:</w:t>
            </w:r>
          </w:p>
          <w:p w14:paraId="3D9BF149" w14:textId="63DA8B65" w:rsidR="00BE1ABB" w:rsidRPr="00BE1ABB" w:rsidRDefault="422B8FE7" w:rsidP="00BE1ABB">
            <w:r>
              <w:t xml:space="preserve">a) </w:t>
            </w:r>
            <w:r w:rsidR="6ADD6387">
              <w:t>I</w:t>
            </w:r>
            <w:r>
              <w:t>nvestments in human capital</w:t>
            </w:r>
            <w:r w:rsidR="4C7E4BFD">
              <w:t>,</w:t>
            </w:r>
            <w:r>
              <w:t xml:space="preserve"> </w:t>
            </w:r>
            <w:r w:rsidR="6ADD6387">
              <w:t xml:space="preserve">defined as the total value </w:t>
            </w:r>
            <w:r>
              <w:t>of expenditures related to education and training. The</w:t>
            </w:r>
            <w:r w:rsidR="438A273B">
              <w:t>se</w:t>
            </w:r>
            <w:r>
              <w:t xml:space="preserve"> investments contribute to the total </w:t>
            </w:r>
            <w:r w:rsidR="080F2DC4">
              <w:t>h</w:t>
            </w:r>
            <w:r w:rsidR="438A273B">
              <w:t xml:space="preserve">uman </w:t>
            </w:r>
            <w:r>
              <w:t xml:space="preserve">capital stock </w:t>
            </w:r>
            <w:r w:rsidR="438A273B">
              <w:t>in the same way as other assets in the National</w:t>
            </w:r>
            <w:r w:rsidR="157CF1C4">
              <w:t xml:space="preserve"> </w:t>
            </w:r>
            <w:proofErr w:type="gramStart"/>
            <w:r w:rsidR="438A273B">
              <w:t>Accounts</w:t>
            </w:r>
            <w:r>
              <w:t>;</w:t>
            </w:r>
            <w:proofErr w:type="gramEnd"/>
          </w:p>
          <w:p w14:paraId="2A8328C1" w14:textId="0B3AF146" w:rsidR="00346DB8" w:rsidRDefault="373F7EC5" w:rsidP="00BE1ABB">
            <w:r>
              <w:t xml:space="preserve"> b) </w:t>
            </w:r>
            <w:r w:rsidR="6BA0F762">
              <w:t>T</w:t>
            </w:r>
            <w:r>
              <w:t>otal costs for different categories of education and training</w:t>
            </w:r>
            <w:r w:rsidR="5A920D27">
              <w:t xml:space="preserve"> (e</w:t>
            </w:r>
            <w:r w:rsidR="2179418C">
              <w:t>.</w:t>
            </w:r>
            <w:r w:rsidR="5A920D27">
              <w:t>g.</w:t>
            </w:r>
            <w:r w:rsidR="1E666D8A">
              <w:t>,</w:t>
            </w:r>
            <w:r w:rsidR="5A920D27">
              <w:t xml:space="preserve"> </w:t>
            </w:r>
            <w:r w:rsidR="2FC96002">
              <w:t>p</w:t>
            </w:r>
            <w:r w:rsidR="5A920D27">
              <w:t>rimary, secondary,</w:t>
            </w:r>
            <w:r w:rsidR="47EEFA9E">
              <w:t xml:space="preserve"> higher education)</w:t>
            </w:r>
            <w:r>
              <w:t>, showing</w:t>
            </w:r>
            <w:r w:rsidR="4070765C">
              <w:t xml:space="preserve"> </w:t>
            </w:r>
            <w:r>
              <w:t>who is producing each category and who is providing the financing</w:t>
            </w:r>
            <w:r w:rsidR="47EEFA9E">
              <w:t xml:space="preserve"> </w:t>
            </w:r>
            <w:r w:rsidR="73FB2CB9">
              <w:t>(Government, NPIs, market producers).</w:t>
            </w:r>
          </w:p>
          <w:p w14:paraId="16762248" w14:textId="030A1600" w:rsidR="00346DB8" w:rsidRDefault="00346DB8" w:rsidP="00BE1ABB"/>
        </w:tc>
        <w:tc>
          <w:tcPr>
            <w:tcW w:w="3117" w:type="dxa"/>
          </w:tcPr>
          <w:p w14:paraId="2B1B453A" w14:textId="724856A5" w:rsidR="00346DB8" w:rsidRDefault="0A1010DB" w:rsidP="00D27E3E">
            <w:r>
              <w:t xml:space="preserve">Provide users and policymakers with </w:t>
            </w:r>
            <w:r w:rsidR="610D4AE0">
              <w:t xml:space="preserve">more detailed information </w:t>
            </w:r>
            <w:r w:rsidR="607C8D8D">
              <w:t xml:space="preserve">on the education and training sector. This will help to promote a </w:t>
            </w:r>
            <w:r>
              <w:t>better understanding</w:t>
            </w:r>
            <w:r w:rsidR="610D4AE0">
              <w:t xml:space="preserve"> of</w:t>
            </w:r>
            <w:r>
              <w:t xml:space="preserve"> what drives economic growth, assess the long-term sustainability of a country’s development path, and to measure the output and productivity performance of the education sector.</w:t>
            </w:r>
          </w:p>
        </w:tc>
      </w:tr>
      <w:tr w:rsidR="00906E69" w14:paraId="1B9078A3" w14:textId="77777777" w:rsidTr="4E991560">
        <w:tc>
          <w:tcPr>
            <w:tcW w:w="3116" w:type="dxa"/>
          </w:tcPr>
          <w:p w14:paraId="5A6CC0EC" w14:textId="62002277" w:rsidR="00906E69" w:rsidRDefault="475F9517" w:rsidP="006F2887">
            <w:r>
              <w:lastRenderedPageBreak/>
              <w:t>Health Care</w:t>
            </w:r>
          </w:p>
        </w:tc>
        <w:tc>
          <w:tcPr>
            <w:tcW w:w="3117" w:type="dxa"/>
          </w:tcPr>
          <w:p w14:paraId="471C8328" w14:textId="69FA0B36" w:rsidR="00906E69" w:rsidRDefault="55D4723C" w:rsidP="4EDC5733">
            <w:r>
              <w:t xml:space="preserve">Health accounts </w:t>
            </w:r>
            <w:r w:rsidR="1A3E282F">
              <w:t xml:space="preserve">based on </w:t>
            </w:r>
            <w:hyperlink r:id="rId11">
              <w:r w:rsidR="1A3E282F" w:rsidRPr="4E991560">
                <w:rPr>
                  <w:rStyle w:val="Hyperlink"/>
                </w:rPr>
                <w:t>OECE System of Health Accounts (2011)</w:t>
              </w:r>
            </w:hyperlink>
            <w:r w:rsidR="1A3E282F">
              <w:t>.</w:t>
            </w:r>
            <w:r w:rsidR="674DEDF4">
              <w:t xml:space="preserve"> </w:t>
            </w:r>
            <w:r w:rsidR="050D9C88">
              <w:t>These would be produced as extended accounts and would provide a range of n</w:t>
            </w:r>
            <w:r w:rsidR="674DEDF4">
              <w:t>ew estimates on the health sector</w:t>
            </w:r>
            <w:r w:rsidR="221FE4B1">
              <w:t>,</w:t>
            </w:r>
            <w:r w:rsidR="674DEDF4">
              <w:t xml:space="preserve"> </w:t>
            </w:r>
            <w:r w:rsidR="050D9C88">
              <w:t>including</w:t>
            </w:r>
            <w:r w:rsidR="5B3D0AAA">
              <w:t xml:space="preserve"> </w:t>
            </w:r>
            <w:r w:rsidR="16ED768D">
              <w:t xml:space="preserve">healthcare </w:t>
            </w:r>
            <w:r w:rsidR="5B3D0AAA">
              <w:t xml:space="preserve">expenditure by functions, </w:t>
            </w:r>
            <w:r w:rsidR="7BB86BA6">
              <w:t xml:space="preserve">providers and financing schemes. </w:t>
            </w:r>
            <w:r w:rsidR="050D9C88">
              <w:t xml:space="preserve"> </w:t>
            </w:r>
            <w:r w:rsidR="674DEDF4">
              <w:t xml:space="preserve"> </w:t>
            </w:r>
          </w:p>
          <w:p w14:paraId="1931F33B" w14:textId="35EF892C" w:rsidR="00906E69" w:rsidRDefault="00906E69" w:rsidP="4EDC5733"/>
        </w:tc>
        <w:tc>
          <w:tcPr>
            <w:tcW w:w="3117" w:type="dxa"/>
          </w:tcPr>
          <w:p w14:paraId="2C4CDB94" w14:textId="14FA5ED9" w:rsidR="00906E69" w:rsidRDefault="6E634496" w:rsidP="006F2887">
            <w:r>
              <w:t xml:space="preserve">New information on </w:t>
            </w:r>
            <w:r w:rsidR="501B4C2A">
              <w:t xml:space="preserve">a range of aspects related to </w:t>
            </w:r>
            <w:r>
              <w:t>health</w:t>
            </w:r>
            <w:r w:rsidR="501B4C2A">
              <w:t xml:space="preserve"> </w:t>
            </w:r>
            <w:r>
              <w:t>to</w:t>
            </w:r>
            <w:r w:rsidR="501B4C2A">
              <w:t xml:space="preserve"> better</w:t>
            </w:r>
            <w:r>
              <w:t xml:space="preserve"> </w:t>
            </w:r>
            <w:r w:rsidR="501B4C2A">
              <w:t xml:space="preserve">inform decisions on the allocation of resources in the health system. </w:t>
            </w:r>
          </w:p>
        </w:tc>
      </w:tr>
      <w:tr w:rsidR="00906E69" w14:paraId="13482BE2" w14:textId="77777777" w:rsidTr="4E991560">
        <w:tc>
          <w:tcPr>
            <w:tcW w:w="3116" w:type="dxa"/>
          </w:tcPr>
          <w:p w14:paraId="1B871CA5" w14:textId="6C7EBCDD" w:rsidR="00906E69" w:rsidRDefault="475F9517" w:rsidP="006F2887">
            <w:r>
              <w:t xml:space="preserve">Human Capital </w:t>
            </w:r>
          </w:p>
        </w:tc>
        <w:tc>
          <w:tcPr>
            <w:tcW w:w="3117" w:type="dxa"/>
          </w:tcPr>
          <w:p w14:paraId="2962ABED" w14:textId="62361942" w:rsidR="00906E69" w:rsidRDefault="0E92D6F1" w:rsidP="006F2887">
            <w:r>
              <w:t xml:space="preserve">New measures of Human capital based on </w:t>
            </w:r>
            <w:r w:rsidR="312A2EBF">
              <w:t>the “cost based approach” and the “l</w:t>
            </w:r>
            <w:r w:rsidR="6EEB14D1">
              <w:t xml:space="preserve">ifetime income approach” in line with the </w:t>
            </w:r>
            <w:hyperlink r:id="rId12">
              <w:r w:rsidR="6EEB14D1" w:rsidRPr="3D1EE2B6">
                <w:rPr>
                  <w:rStyle w:val="Hyperlink"/>
                </w:rPr>
                <w:t>UNECE Guide on Measuring Human Capital</w:t>
              </w:r>
            </w:hyperlink>
            <w:r w:rsidR="6EEB14D1">
              <w:t xml:space="preserve">. </w:t>
            </w:r>
          </w:p>
        </w:tc>
        <w:tc>
          <w:tcPr>
            <w:tcW w:w="3117" w:type="dxa"/>
          </w:tcPr>
          <w:p w14:paraId="496A6F99" w14:textId="49F984D2" w:rsidR="00906E69" w:rsidRDefault="17700428" w:rsidP="006F2887">
            <w:r>
              <w:t>New insight</w:t>
            </w:r>
            <w:r w:rsidR="2BFE9717">
              <w:t xml:space="preserve">s into an economy’s capital stock which are inclusive of human capital. </w:t>
            </w:r>
            <w:r w:rsidR="30824DD8">
              <w:t xml:space="preserve">Provide users with new information to better understand the links between investment in human capital and the economy. </w:t>
            </w:r>
          </w:p>
        </w:tc>
      </w:tr>
      <w:tr w:rsidR="001652D5" w14:paraId="21B4B1E0" w14:textId="77777777" w:rsidTr="4E991560">
        <w:tc>
          <w:tcPr>
            <w:tcW w:w="3116" w:type="dxa"/>
          </w:tcPr>
          <w:p w14:paraId="675AD910" w14:textId="6185E601" w:rsidR="001652D5" w:rsidRDefault="74FD13FF" w:rsidP="006F2887">
            <w:r>
              <w:t>Unpaid Household Services</w:t>
            </w:r>
          </w:p>
        </w:tc>
        <w:tc>
          <w:tcPr>
            <w:tcW w:w="3117" w:type="dxa"/>
          </w:tcPr>
          <w:p w14:paraId="09B8B152" w14:textId="557B96C9" w:rsidR="001652D5" w:rsidRDefault="69F8BE4A" w:rsidP="006F2887">
            <w:r>
              <w:t xml:space="preserve">New measures of Unpaid household services based on </w:t>
            </w:r>
            <w:hyperlink r:id="rId13">
              <w:r w:rsidR="70CB61ED" w:rsidRPr="3D1EE2B6">
                <w:rPr>
                  <w:rStyle w:val="Hyperlink"/>
                </w:rPr>
                <w:t>UNECE Guide on Valuing Unpaid Household Services Work</w:t>
              </w:r>
            </w:hyperlink>
          </w:p>
          <w:p w14:paraId="0211F09C" w14:textId="697BF924" w:rsidR="001652D5" w:rsidRDefault="001652D5" w:rsidP="006F2887"/>
          <w:p w14:paraId="23461DA5" w14:textId="42EC646F" w:rsidR="001652D5" w:rsidRDefault="77E7B752" w:rsidP="006F2887">
            <w:r w:rsidRPr="3D1EE2B6">
              <w:rPr>
                <w:u w:val="single"/>
              </w:rPr>
              <w:t>Note:</w:t>
            </w:r>
            <w:r>
              <w:t xml:space="preserve"> this will build on work being undertaken by the ABS on </w:t>
            </w:r>
            <w:r w:rsidR="428AC23C">
              <w:t>unpaid care</w:t>
            </w:r>
            <w:r w:rsidR="32B449AD">
              <w:t xml:space="preserve"> linked </w:t>
            </w:r>
            <w:r w:rsidR="001030AB">
              <w:t>in the labour accounts</w:t>
            </w:r>
            <w:r w:rsidR="428AC23C">
              <w:t>. The recommendations in the SNA cover broader unpaid service wor</w:t>
            </w:r>
            <w:r w:rsidR="609FF5DE">
              <w:t>k</w:t>
            </w:r>
            <w:r w:rsidR="01697169">
              <w:t>.</w:t>
            </w:r>
          </w:p>
        </w:tc>
        <w:tc>
          <w:tcPr>
            <w:tcW w:w="3117" w:type="dxa"/>
          </w:tcPr>
          <w:p w14:paraId="53EC0CD2" w14:textId="28BBC87A" w:rsidR="001652D5" w:rsidRDefault="40487904" w:rsidP="006F2887">
            <w:r>
              <w:t xml:space="preserve">Provides recognition and valuation of </w:t>
            </w:r>
            <w:r w:rsidR="60F3E6AD">
              <w:t>activities which are current</w:t>
            </w:r>
            <w:r w:rsidR="0994EF49">
              <w:t>ly</w:t>
            </w:r>
            <w:r w:rsidR="60F3E6AD">
              <w:t xml:space="preserve"> hidden from traditional</w:t>
            </w:r>
            <w:r w:rsidR="7FA1B8A5">
              <w:t xml:space="preserve"> macroeconomic indicators. This </w:t>
            </w:r>
            <w:r w:rsidR="7F925A16">
              <w:t xml:space="preserve">would </w:t>
            </w:r>
            <w:r w:rsidR="217ACA41">
              <w:t xml:space="preserve">provide policymakers with more information about a countries wellbeing and how it has changed </w:t>
            </w:r>
            <w:r w:rsidR="66488311">
              <w:t xml:space="preserve">over time. </w:t>
            </w:r>
          </w:p>
        </w:tc>
      </w:tr>
    </w:tbl>
    <w:p w14:paraId="7AB12EA0" w14:textId="77777777" w:rsidR="00346DB8" w:rsidRPr="00ED51BB" w:rsidRDefault="00346DB8" w:rsidP="00C97AEE"/>
    <w:p w14:paraId="5E7EA805" w14:textId="38D0E41F" w:rsidR="005C7789" w:rsidRDefault="69337CF8" w:rsidP="005C7789">
      <w:pPr>
        <w:pStyle w:val="Heading2"/>
      </w:pPr>
      <w:r>
        <w:t xml:space="preserve">Environmental sustainability </w:t>
      </w:r>
    </w:p>
    <w:p w14:paraId="7284D8AA" w14:textId="055DB76B" w:rsidR="007338D0" w:rsidRDefault="765697BA" w:rsidP="007338D0">
      <w:r>
        <w:t xml:space="preserve">For </w:t>
      </w:r>
      <w:r w:rsidR="442CF1D9">
        <w:t xml:space="preserve">many years, there has been growing recognition </w:t>
      </w:r>
      <w:r w:rsidR="709C4089">
        <w:t>of</w:t>
      </w:r>
      <w:r w:rsidR="442CF1D9">
        <w:t xml:space="preserve"> </w:t>
      </w:r>
      <w:r w:rsidR="259F28ED">
        <w:t>the interactions between the economy and the environment</w:t>
      </w:r>
      <w:r w:rsidR="442CF1D9">
        <w:t>. A common criticism of the National Accounts</w:t>
      </w:r>
      <w:r w:rsidR="5C0E50C0">
        <w:t xml:space="preserve"> </w:t>
      </w:r>
      <w:r w:rsidR="259F28ED">
        <w:t>(</w:t>
      </w:r>
      <w:r w:rsidR="5C0E50C0">
        <w:t>including key measures such as GDP</w:t>
      </w:r>
      <w:r w:rsidR="259F28ED">
        <w:t>)</w:t>
      </w:r>
      <w:r w:rsidR="7D9989FC">
        <w:t xml:space="preserve"> </w:t>
      </w:r>
      <w:r w:rsidR="442CF1D9">
        <w:t xml:space="preserve">is that </w:t>
      </w:r>
      <w:r w:rsidR="7E7CCB76">
        <w:t>they do</w:t>
      </w:r>
      <w:r w:rsidR="5C0E50C0">
        <w:t xml:space="preserve"> not adequately consider</w:t>
      </w:r>
      <w:r w:rsidR="00F55D6E">
        <w:t xml:space="preserve"> </w:t>
      </w:r>
      <w:r w:rsidR="5C0E50C0">
        <w:t xml:space="preserve">the impact that </w:t>
      </w:r>
      <w:r w:rsidR="14A5D3FC">
        <w:t xml:space="preserve">economic </w:t>
      </w:r>
      <w:r w:rsidR="5C0E50C0">
        <w:t xml:space="preserve">production </w:t>
      </w:r>
      <w:r w:rsidR="7B861BB5">
        <w:t xml:space="preserve">has on </w:t>
      </w:r>
      <w:r w:rsidR="14A5D3FC">
        <w:t>n</w:t>
      </w:r>
      <w:r w:rsidR="7D794B09">
        <w:t>atural assets</w:t>
      </w:r>
      <w:r w:rsidR="7A50A8D7">
        <w:t xml:space="preserve"> and the broader environment. </w:t>
      </w:r>
    </w:p>
    <w:p w14:paraId="132C23A7" w14:textId="50033503" w:rsidR="0073058D" w:rsidRDefault="13595117" w:rsidP="007338D0">
      <w:r>
        <w:t>Environmental issues</w:t>
      </w:r>
      <w:r w:rsidR="0E80D2D7">
        <w:t>,</w:t>
      </w:r>
      <w:r>
        <w:t xml:space="preserve"> such as the impacts of climate change</w:t>
      </w:r>
      <w:r w:rsidR="0910FD21">
        <w:t>,</w:t>
      </w:r>
      <w:r>
        <w:t xml:space="preserve"> have become much more important in societies around the world and are</w:t>
      </w:r>
      <w:r w:rsidR="1AD9A90C">
        <w:t xml:space="preserve"> </w:t>
      </w:r>
      <w:r w:rsidR="19B1AD8A">
        <w:t xml:space="preserve">increasingly a </w:t>
      </w:r>
      <w:r w:rsidR="7D9989FC">
        <w:t>focus of policymakers</w:t>
      </w:r>
      <w:r w:rsidR="4E095B85">
        <w:t xml:space="preserve">. </w:t>
      </w:r>
      <w:r w:rsidR="43700F19">
        <w:t xml:space="preserve"> For example, the </w:t>
      </w:r>
      <w:r w:rsidR="05B51995">
        <w:t>d</w:t>
      </w:r>
      <w:r w:rsidR="709E4EAB">
        <w:t>evelopment of p</w:t>
      </w:r>
      <w:r w:rsidR="26441829">
        <w:t xml:space="preserve">olicies such as </w:t>
      </w:r>
      <w:r w:rsidR="2C7BE21E">
        <w:t>“N</w:t>
      </w:r>
      <w:r w:rsidR="26441829">
        <w:t>et zero</w:t>
      </w:r>
      <w:r w:rsidR="2C7BE21E">
        <w:t>”</w:t>
      </w:r>
      <w:r w:rsidR="26441829">
        <w:t xml:space="preserve"> have led to a shift away from fo</w:t>
      </w:r>
      <w:r w:rsidR="31F09DDD">
        <w:t>ssil fuels to</w:t>
      </w:r>
      <w:r w:rsidR="0465D6AC">
        <w:t>wards</w:t>
      </w:r>
      <w:r w:rsidR="31F09DDD">
        <w:t xml:space="preserve"> renewable energy</w:t>
      </w:r>
      <w:r w:rsidR="680FF4B9">
        <w:t xml:space="preserve"> and the</w:t>
      </w:r>
      <w:r w:rsidR="1B876C60">
        <w:t>se</w:t>
      </w:r>
      <w:r w:rsidR="63BD6D17">
        <w:t xml:space="preserve"> </w:t>
      </w:r>
      <w:r w:rsidR="680FF4B9">
        <w:t xml:space="preserve">impacts are </w:t>
      </w:r>
      <w:r w:rsidR="63BD6D17">
        <w:t xml:space="preserve">currently </w:t>
      </w:r>
      <w:r w:rsidR="680FF4B9">
        <w:t xml:space="preserve">difficult to see in the National Accounts. </w:t>
      </w:r>
    </w:p>
    <w:p w14:paraId="7A2E4384" w14:textId="3C849F97" w:rsidR="004F4367" w:rsidRDefault="4144A709" w:rsidP="47D3CD2C">
      <w:r>
        <w:t xml:space="preserve">In the </w:t>
      </w:r>
      <w:r w:rsidR="14A5D3FC">
        <w:t>updated</w:t>
      </w:r>
      <w:r>
        <w:t xml:space="preserve"> manuals</w:t>
      </w:r>
      <w:r w:rsidR="3640666C">
        <w:t xml:space="preserve">, there </w:t>
      </w:r>
      <w:r w:rsidR="0FA8B7C3">
        <w:t>will be</w:t>
      </w:r>
      <w:r w:rsidR="28DE2AEB">
        <w:t xml:space="preserve"> several changes to the core framework </w:t>
      </w:r>
      <w:r w:rsidR="70D9803B">
        <w:t>to better account for and provide insights into the impacts on the physical environment.</w:t>
      </w:r>
    </w:p>
    <w:tbl>
      <w:tblPr>
        <w:tblStyle w:val="TableGrid"/>
        <w:tblW w:w="0" w:type="auto"/>
        <w:tblLook w:val="04A0" w:firstRow="1" w:lastRow="0" w:firstColumn="1" w:lastColumn="0" w:noHBand="0" w:noVBand="1"/>
      </w:tblPr>
      <w:tblGrid>
        <w:gridCol w:w="3116"/>
        <w:gridCol w:w="3117"/>
        <w:gridCol w:w="3117"/>
      </w:tblGrid>
      <w:tr w:rsidR="00093B34" w14:paraId="65DCF33C" w14:textId="77777777" w:rsidTr="4E991560">
        <w:tc>
          <w:tcPr>
            <w:tcW w:w="3116" w:type="dxa"/>
          </w:tcPr>
          <w:p w14:paraId="0C87D4F2" w14:textId="7322293A" w:rsidR="00093B34" w:rsidRDefault="1AD9A90C" w:rsidP="00093B34">
            <w:r w:rsidRPr="3D1EE2B6">
              <w:rPr>
                <w:b/>
                <w:bCs/>
              </w:rPr>
              <w:lastRenderedPageBreak/>
              <w:t>Change/Recommendation</w:t>
            </w:r>
          </w:p>
        </w:tc>
        <w:tc>
          <w:tcPr>
            <w:tcW w:w="3117" w:type="dxa"/>
          </w:tcPr>
          <w:p w14:paraId="52010308" w14:textId="00947AA1" w:rsidR="00093B34" w:rsidRDefault="1AD9A90C" w:rsidP="00093B34">
            <w:r w:rsidRPr="3D1EE2B6">
              <w:rPr>
                <w:b/>
                <w:bCs/>
              </w:rPr>
              <w:t>New statistical output</w:t>
            </w:r>
          </w:p>
        </w:tc>
        <w:tc>
          <w:tcPr>
            <w:tcW w:w="3117" w:type="dxa"/>
          </w:tcPr>
          <w:p w14:paraId="0BDE2FD0" w14:textId="5B311CF9" w:rsidR="00093B34" w:rsidRDefault="1AD9A90C" w:rsidP="00093B34">
            <w:r w:rsidRPr="3D1EE2B6">
              <w:rPr>
                <w:b/>
                <w:bCs/>
              </w:rPr>
              <w:t>Benefits</w:t>
            </w:r>
          </w:p>
        </w:tc>
      </w:tr>
      <w:tr w:rsidR="00F22753" w14:paraId="7F83D844" w14:textId="77777777" w:rsidTr="000737EA">
        <w:tc>
          <w:tcPr>
            <w:tcW w:w="3116" w:type="dxa"/>
            <w:shd w:val="clear" w:color="auto" w:fill="auto"/>
          </w:tcPr>
          <w:p w14:paraId="5CF3D6B7" w14:textId="089F7341" w:rsidR="00F22753" w:rsidRDefault="048C2B3E" w:rsidP="00093B34">
            <w:r>
              <w:t>Depletion of natural resources</w:t>
            </w:r>
          </w:p>
        </w:tc>
        <w:tc>
          <w:tcPr>
            <w:tcW w:w="3117" w:type="dxa"/>
            <w:shd w:val="clear" w:color="auto" w:fill="auto"/>
          </w:tcPr>
          <w:p w14:paraId="77CF654E" w14:textId="77777777" w:rsidR="000737EA" w:rsidRPr="0087243F" w:rsidRDefault="000737EA" w:rsidP="000737EA">
            <w:pPr>
              <w:rPr>
                <w:u w:val="single"/>
              </w:rPr>
            </w:pPr>
            <w:r w:rsidRPr="0087243F">
              <w:rPr>
                <w:u w:val="single"/>
              </w:rPr>
              <w:t>Change to core framework</w:t>
            </w:r>
          </w:p>
          <w:p w14:paraId="0553B83B" w14:textId="77777777" w:rsidR="000737EA" w:rsidRDefault="000737EA" w:rsidP="00093B34"/>
          <w:p w14:paraId="11811C4D" w14:textId="16808EB1" w:rsidR="00F22753" w:rsidRDefault="273DCD88" w:rsidP="00093B34">
            <w:r>
              <w:t>N</w:t>
            </w:r>
            <w:r w:rsidR="1316BA88">
              <w:t xml:space="preserve">ew </w:t>
            </w:r>
            <w:r w:rsidR="0D1F9100">
              <w:t>line item “depletion/degradation of natural resources” will be included</w:t>
            </w:r>
            <w:r w:rsidR="3C671026">
              <w:t xml:space="preserve"> in </w:t>
            </w:r>
            <w:r w:rsidR="014600BA">
              <w:t xml:space="preserve">the </w:t>
            </w:r>
            <w:r w:rsidR="3C671026">
              <w:t>income accounts alongside consumption of fixed capital (Depreciation)</w:t>
            </w:r>
            <w:r>
              <w:t xml:space="preserve">. </w:t>
            </w:r>
          </w:p>
        </w:tc>
        <w:tc>
          <w:tcPr>
            <w:tcW w:w="3117" w:type="dxa"/>
            <w:shd w:val="clear" w:color="auto" w:fill="auto"/>
          </w:tcPr>
          <w:p w14:paraId="50A1D528" w14:textId="77777777" w:rsidR="00F22753" w:rsidRDefault="3C671026" w:rsidP="00093B34">
            <w:r>
              <w:t xml:space="preserve">More explicit recognition of the </w:t>
            </w:r>
            <w:r w:rsidR="1012B949">
              <w:t xml:space="preserve">use of natural resources in the production process. </w:t>
            </w:r>
          </w:p>
          <w:p w14:paraId="21276614" w14:textId="53974E8D" w:rsidR="00BC721A" w:rsidRDefault="1012B949" w:rsidP="00093B34">
            <w:r>
              <w:t xml:space="preserve">Net Domestic Product </w:t>
            </w:r>
            <w:r w:rsidR="5F63B532">
              <w:t xml:space="preserve">(NDP) </w:t>
            </w:r>
            <w:r>
              <w:t>measures whic</w:t>
            </w:r>
            <w:r w:rsidR="64A6D4D0">
              <w:t xml:space="preserve">h incorporate a broader range of input costs. </w:t>
            </w:r>
          </w:p>
        </w:tc>
      </w:tr>
      <w:tr w:rsidR="00093B34" w14:paraId="4F6564C4" w14:textId="77777777" w:rsidTr="000737EA">
        <w:tc>
          <w:tcPr>
            <w:tcW w:w="3116" w:type="dxa"/>
            <w:shd w:val="clear" w:color="auto" w:fill="auto"/>
          </w:tcPr>
          <w:p w14:paraId="686C393C" w14:textId="1A9D3FAE" w:rsidR="00093B34" w:rsidRDefault="7FCAFDEF" w:rsidP="00093B34">
            <w:r>
              <w:t>Split ownership of natural resources</w:t>
            </w:r>
          </w:p>
        </w:tc>
        <w:tc>
          <w:tcPr>
            <w:tcW w:w="3117" w:type="dxa"/>
            <w:shd w:val="clear" w:color="auto" w:fill="auto"/>
          </w:tcPr>
          <w:p w14:paraId="0E1AF862" w14:textId="77777777" w:rsidR="000737EA" w:rsidRPr="0087243F" w:rsidRDefault="000737EA" w:rsidP="000737EA">
            <w:pPr>
              <w:rPr>
                <w:u w:val="single"/>
              </w:rPr>
            </w:pPr>
            <w:r w:rsidRPr="0087243F">
              <w:rPr>
                <w:u w:val="single"/>
              </w:rPr>
              <w:t>Change to core framework</w:t>
            </w:r>
          </w:p>
          <w:p w14:paraId="25537778" w14:textId="77777777" w:rsidR="000737EA" w:rsidRDefault="000737EA" w:rsidP="00093B34"/>
          <w:p w14:paraId="1ADC96FB" w14:textId="6A6E522D" w:rsidR="00093B34" w:rsidRDefault="4BA1A70E" w:rsidP="00093B34">
            <w:r>
              <w:t>No new data items</w:t>
            </w:r>
            <w:r w:rsidR="273DCD88">
              <w:t xml:space="preserve"> but</w:t>
            </w:r>
            <w:r w:rsidR="01A44304">
              <w:t xml:space="preserve"> </w:t>
            </w:r>
            <w:r w:rsidR="747C8C00">
              <w:t xml:space="preserve">Private non-financial corporations will have </w:t>
            </w:r>
            <w:r w:rsidR="2C6F263B">
              <w:t xml:space="preserve">Natural Resource </w:t>
            </w:r>
            <w:r w:rsidR="747C8C00">
              <w:t xml:space="preserve">assets on the balance sheet </w:t>
            </w:r>
            <w:r w:rsidR="7ACD46D6">
              <w:t xml:space="preserve">due to </w:t>
            </w:r>
            <w:r w:rsidR="747C8C00">
              <w:t xml:space="preserve">the new </w:t>
            </w:r>
            <w:r w:rsidR="2C6F263B">
              <w:t xml:space="preserve">2025 SNA </w:t>
            </w:r>
            <w:r w:rsidR="747C8C00">
              <w:t xml:space="preserve">treatment. </w:t>
            </w:r>
            <w:r w:rsidR="77F475F4">
              <w:t xml:space="preserve">Currently, only the Government sector has Natural resource assets on the balance sheet </w:t>
            </w:r>
          </w:p>
        </w:tc>
        <w:tc>
          <w:tcPr>
            <w:tcW w:w="3117" w:type="dxa"/>
            <w:shd w:val="clear" w:color="auto" w:fill="auto"/>
          </w:tcPr>
          <w:p w14:paraId="1B98C90B" w14:textId="42442273" w:rsidR="00093B34" w:rsidRDefault="2C6F263B" w:rsidP="00093B34">
            <w:r>
              <w:t>Owners</w:t>
            </w:r>
            <w:r w:rsidR="27C346F5">
              <w:t>hip of Natural Resources which are based on who has risks</w:t>
            </w:r>
            <w:r w:rsidR="3E3F1507">
              <w:t xml:space="preserve"> and </w:t>
            </w:r>
            <w:r w:rsidR="27C346F5">
              <w:t>rewards rather than based on legal ownership.</w:t>
            </w:r>
            <w:r w:rsidR="481C2732">
              <w:t xml:space="preserve"> </w:t>
            </w:r>
          </w:p>
        </w:tc>
      </w:tr>
      <w:tr w:rsidR="00093B34" w14:paraId="4B82A959" w14:textId="77777777" w:rsidTr="000737EA">
        <w:tc>
          <w:tcPr>
            <w:tcW w:w="3116" w:type="dxa"/>
            <w:shd w:val="clear" w:color="auto" w:fill="auto"/>
          </w:tcPr>
          <w:p w14:paraId="7FD78EC3" w14:textId="7E5AD1A3" w:rsidR="00093B34" w:rsidRDefault="7FCAFDEF" w:rsidP="00093B34">
            <w:r>
              <w:t>Renewable energy resources</w:t>
            </w:r>
          </w:p>
        </w:tc>
        <w:tc>
          <w:tcPr>
            <w:tcW w:w="3117" w:type="dxa"/>
            <w:shd w:val="clear" w:color="auto" w:fill="auto"/>
          </w:tcPr>
          <w:p w14:paraId="5E57B4AE" w14:textId="77777777" w:rsidR="000737EA" w:rsidRPr="0087243F" w:rsidRDefault="000737EA" w:rsidP="000737EA">
            <w:pPr>
              <w:rPr>
                <w:u w:val="single"/>
              </w:rPr>
            </w:pPr>
            <w:r w:rsidRPr="0087243F">
              <w:rPr>
                <w:u w:val="single"/>
              </w:rPr>
              <w:t>Change to core framework</w:t>
            </w:r>
          </w:p>
          <w:p w14:paraId="0BBCA020" w14:textId="77777777" w:rsidR="000737EA" w:rsidRDefault="000737EA" w:rsidP="00093B34"/>
          <w:p w14:paraId="0B8CCDB2" w14:textId="3BB78D83" w:rsidR="00093B34" w:rsidRDefault="39DC3739" w:rsidP="00093B34">
            <w:r>
              <w:t xml:space="preserve">New line item “Renewable energy resources” will be included on the balance sheets of the respective </w:t>
            </w:r>
            <w:r w:rsidR="5F4233B2">
              <w:t>owners</w:t>
            </w:r>
            <w:r w:rsidR="36090A72">
              <w:t xml:space="preserve"> of the renewable energy facility. </w:t>
            </w:r>
          </w:p>
        </w:tc>
        <w:tc>
          <w:tcPr>
            <w:tcW w:w="3117" w:type="dxa"/>
            <w:shd w:val="clear" w:color="auto" w:fill="auto"/>
          </w:tcPr>
          <w:p w14:paraId="33113FA8" w14:textId="77777777" w:rsidR="00093B34" w:rsidRDefault="0E194F72" w:rsidP="00093B34">
            <w:r>
              <w:t xml:space="preserve">Improve analysis of energy resources in Australia and </w:t>
            </w:r>
            <w:r w:rsidR="230068BE">
              <w:t xml:space="preserve">international comparison. </w:t>
            </w:r>
          </w:p>
          <w:p w14:paraId="7FAEFC1E" w14:textId="77777777" w:rsidR="00E76B4E" w:rsidRDefault="00E76B4E" w:rsidP="00093B34"/>
          <w:p w14:paraId="33BBED12" w14:textId="69FBE5E2" w:rsidR="007C5DEB" w:rsidRDefault="230068BE" w:rsidP="00093B34">
            <w:r>
              <w:t xml:space="preserve">Will provide insights into Australia’s mix of energy resources by showing </w:t>
            </w:r>
            <w:r w:rsidR="680FF4B9">
              <w:t xml:space="preserve">the </w:t>
            </w:r>
            <w:r>
              <w:t xml:space="preserve">breakdown between renewable and non-renewable resources. </w:t>
            </w:r>
          </w:p>
        </w:tc>
      </w:tr>
      <w:tr w:rsidR="00093B34" w14:paraId="2A79B030" w14:textId="77777777" w:rsidTr="4E991560">
        <w:tc>
          <w:tcPr>
            <w:tcW w:w="3116" w:type="dxa"/>
          </w:tcPr>
          <w:p w14:paraId="6EA7A50E" w14:textId="61631D71" w:rsidR="00093B34" w:rsidRDefault="7FCAFDEF" w:rsidP="00093B34">
            <w:r>
              <w:t xml:space="preserve">Environment classifications </w:t>
            </w:r>
          </w:p>
        </w:tc>
        <w:tc>
          <w:tcPr>
            <w:tcW w:w="3117" w:type="dxa"/>
          </w:tcPr>
          <w:p w14:paraId="129A0CFB" w14:textId="08F714FD" w:rsidR="00E66677" w:rsidRPr="00E66677" w:rsidRDefault="7D3B7919" w:rsidP="00E66677">
            <w:r>
              <w:t>A range of</w:t>
            </w:r>
            <w:r w:rsidR="4D1F0BFE">
              <w:t xml:space="preserve"> additional breakdowns will be introduced including: </w:t>
            </w:r>
          </w:p>
          <w:p w14:paraId="408209FE" w14:textId="415C724F" w:rsidR="00093B34" w:rsidRPr="009544FF" w:rsidRDefault="360E93CC" w:rsidP="009544FF">
            <w:pPr>
              <w:pStyle w:val="ListParagraph"/>
              <w:numPr>
                <w:ilvl w:val="0"/>
                <w:numId w:val="1"/>
              </w:numPr>
            </w:pPr>
            <w:r>
              <w:t xml:space="preserve">New financial instrument classes for “Green bonds” and “Green loans” to be included in the Financial Accounts. </w:t>
            </w:r>
          </w:p>
          <w:p w14:paraId="66788434" w14:textId="77777777" w:rsidR="00313F62" w:rsidRPr="009544FF" w:rsidRDefault="2B6DBA22" w:rsidP="009544FF">
            <w:pPr>
              <w:pStyle w:val="ListParagraph"/>
              <w:numPr>
                <w:ilvl w:val="0"/>
                <w:numId w:val="1"/>
              </w:numPr>
            </w:pPr>
            <w:r>
              <w:t xml:space="preserve">Environment taxes and subsidies to be included as </w:t>
            </w:r>
            <w:r w:rsidR="72902FB3">
              <w:t>additional breakdown.</w:t>
            </w:r>
          </w:p>
          <w:p w14:paraId="0DF81AE6" w14:textId="3D694EBB" w:rsidR="00FD6A34" w:rsidRPr="009544FF" w:rsidRDefault="2757FB6E" w:rsidP="009544FF">
            <w:pPr>
              <w:pStyle w:val="ListParagraph"/>
              <w:numPr>
                <w:ilvl w:val="0"/>
                <w:numId w:val="1"/>
              </w:numPr>
            </w:pPr>
            <w:r>
              <w:t xml:space="preserve">Non-renewable resource assets broken down by type – Oil, </w:t>
            </w:r>
            <w:r w:rsidR="51981C6F">
              <w:t>G</w:t>
            </w:r>
            <w:r>
              <w:t xml:space="preserve">as and </w:t>
            </w:r>
            <w:r w:rsidR="51981C6F">
              <w:t>O</w:t>
            </w:r>
            <w:r>
              <w:t>ther.</w:t>
            </w:r>
          </w:p>
          <w:p w14:paraId="1FB41788" w14:textId="0386631F" w:rsidR="00F31C57" w:rsidRPr="009544FF" w:rsidRDefault="1257F695" w:rsidP="009544FF">
            <w:pPr>
              <w:pStyle w:val="ListParagraph"/>
              <w:numPr>
                <w:ilvl w:val="0"/>
                <w:numId w:val="1"/>
              </w:numPr>
            </w:pPr>
            <w:r>
              <w:t xml:space="preserve">Renewable resource assets </w:t>
            </w:r>
            <w:r w:rsidR="1BE296DD">
              <w:t xml:space="preserve">to distinguish 5 </w:t>
            </w:r>
            <w:r w:rsidR="1BE296DD">
              <w:lastRenderedPageBreak/>
              <w:t>types of renewable energy</w:t>
            </w:r>
            <w:r>
              <w:t xml:space="preserve"> – Wind, Solar, Water, Geothermal and Other.</w:t>
            </w:r>
          </w:p>
          <w:p w14:paraId="6B75D926" w14:textId="05098E37" w:rsidR="00F31C57" w:rsidRPr="009544FF" w:rsidRDefault="4F8B86A2" w:rsidP="009544FF">
            <w:pPr>
              <w:pStyle w:val="ListParagraph"/>
              <w:numPr>
                <w:ilvl w:val="0"/>
                <w:numId w:val="1"/>
              </w:numPr>
            </w:pPr>
            <w:r>
              <w:t>Revised industry classification for renewable energy generation</w:t>
            </w:r>
            <w:r w:rsidR="3141BA22">
              <w:t xml:space="preserve"> types.</w:t>
            </w:r>
          </w:p>
          <w:p w14:paraId="3073EF3E" w14:textId="755EC859" w:rsidR="00F31C57" w:rsidRPr="009544FF" w:rsidRDefault="00F31C57" w:rsidP="4E991560">
            <w:pPr>
              <w:pStyle w:val="ListParagraph"/>
              <w:ind w:left="360"/>
            </w:pPr>
          </w:p>
        </w:tc>
        <w:tc>
          <w:tcPr>
            <w:tcW w:w="3117" w:type="dxa"/>
          </w:tcPr>
          <w:p w14:paraId="6AADD964" w14:textId="359CC38E" w:rsidR="00093B34" w:rsidRDefault="5514DD3F" w:rsidP="00093B34">
            <w:r>
              <w:lastRenderedPageBreak/>
              <w:t xml:space="preserve">Provide </w:t>
            </w:r>
            <w:r w:rsidR="28D17593">
              <w:t xml:space="preserve">new insights on a range of environmental aspects. </w:t>
            </w:r>
            <w:r w:rsidR="14889909">
              <w:t xml:space="preserve">Allow </w:t>
            </w:r>
            <w:r w:rsidR="4646D2CA">
              <w:t xml:space="preserve">policymakers to better assess </w:t>
            </w:r>
            <w:r w:rsidR="4F97D09F">
              <w:t xml:space="preserve">the interactions between </w:t>
            </w:r>
            <w:r w:rsidR="2C4B74A2">
              <w:t>economic activity</w:t>
            </w:r>
            <w:r w:rsidR="4F97D09F">
              <w:t xml:space="preserve"> and the e</w:t>
            </w:r>
            <w:r w:rsidR="458E0D80">
              <w:t>nvironment</w:t>
            </w:r>
            <w:r w:rsidR="04E1FA99">
              <w:t xml:space="preserve">. </w:t>
            </w:r>
          </w:p>
        </w:tc>
      </w:tr>
      <w:tr w:rsidR="00196261" w14:paraId="362FF7AE" w14:textId="77777777" w:rsidTr="000737EA">
        <w:tc>
          <w:tcPr>
            <w:tcW w:w="3116" w:type="dxa"/>
            <w:shd w:val="clear" w:color="auto" w:fill="auto"/>
          </w:tcPr>
          <w:p w14:paraId="2F087B40" w14:textId="57BD24E6" w:rsidR="00196261" w:rsidRDefault="73A9D676" w:rsidP="00093B34">
            <w:r>
              <w:t>Emission trading</w:t>
            </w:r>
            <w:r w:rsidR="6F3E0C6F">
              <w:t xml:space="preserve"> permits</w:t>
            </w:r>
          </w:p>
        </w:tc>
        <w:tc>
          <w:tcPr>
            <w:tcW w:w="3117" w:type="dxa"/>
            <w:shd w:val="clear" w:color="auto" w:fill="auto"/>
          </w:tcPr>
          <w:p w14:paraId="3277E181" w14:textId="77777777" w:rsidR="000737EA" w:rsidRPr="0087243F" w:rsidRDefault="000737EA" w:rsidP="000737EA">
            <w:pPr>
              <w:rPr>
                <w:u w:val="single"/>
              </w:rPr>
            </w:pPr>
            <w:r w:rsidRPr="0087243F">
              <w:rPr>
                <w:u w:val="single"/>
              </w:rPr>
              <w:t>Change to core framework</w:t>
            </w:r>
          </w:p>
          <w:p w14:paraId="5EB3CACC" w14:textId="77777777" w:rsidR="000737EA" w:rsidRDefault="000737EA" w:rsidP="005E171D"/>
          <w:p w14:paraId="736D2050" w14:textId="65BB54DF" w:rsidR="00196261" w:rsidRPr="005E171D" w:rsidRDefault="6F3E0C6F" w:rsidP="005E171D">
            <w:r>
              <w:t>New manuals will clarify the recording of the permits as a financial asset</w:t>
            </w:r>
            <w:r w:rsidR="5292115D">
              <w:t xml:space="preserve"> and Taxes on Production when the permits are surrendered. </w:t>
            </w:r>
          </w:p>
        </w:tc>
        <w:tc>
          <w:tcPr>
            <w:tcW w:w="3117" w:type="dxa"/>
            <w:shd w:val="clear" w:color="auto" w:fill="auto"/>
          </w:tcPr>
          <w:p w14:paraId="3C7D83A4" w14:textId="6A955D85" w:rsidR="00196261" w:rsidRDefault="5E48E90F" w:rsidP="00093B34">
            <w:r>
              <w:t xml:space="preserve">Inclusion of emission trading permits in </w:t>
            </w:r>
            <w:r w:rsidR="5A7F69C1">
              <w:t xml:space="preserve">the National Accounts will enable analysis of the impacts of environmental policies </w:t>
            </w:r>
            <w:r w:rsidR="40FF67D5">
              <w:t xml:space="preserve">on the economy. </w:t>
            </w:r>
          </w:p>
        </w:tc>
      </w:tr>
    </w:tbl>
    <w:p w14:paraId="75F65CAB" w14:textId="77777777" w:rsidR="00093B34" w:rsidRDefault="00093B34" w:rsidP="007338D0"/>
    <w:p w14:paraId="77DF5229" w14:textId="63A326AF" w:rsidR="005C7789" w:rsidRDefault="69337CF8" w:rsidP="005C7789">
      <w:pPr>
        <w:pStyle w:val="Heading2"/>
      </w:pPr>
      <w:r>
        <w:t>Globalisation</w:t>
      </w:r>
    </w:p>
    <w:p w14:paraId="07397103" w14:textId="5E04A438" w:rsidR="009337B9" w:rsidRDefault="602D9731" w:rsidP="004149FA">
      <w:r>
        <w:t>The world ha</w:t>
      </w:r>
      <w:r w:rsidR="2041CC17">
        <w:t>s</w:t>
      </w:r>
      <w:r>
        <w:t xml:space="preserve"> become increasingly</w:t>
      </w:r>
      <w:r w:rsidR="71ED84FD">
        <w:t xml:space="preserve"> interconnected</w:t>
      </w:r>
      <w:r w:rsidR="1AB6F846">
        <w:t>,</w:t>
      </w:r>
      <w:r>
        <w:t xml:space="preserve"> which has led to </w:t>
      </w:r>
      <w:r w:rsidR="00F55D6E">
        <w:t>increasing</w:t>
      </w:r>
      <w:r>
        <w:t xml:space="preserve"> </w:t>
      </w:r>
      <w:r w:rsidR="5E871A29">
        <w:t>i</w:t>
      </w:r>
      <w:r>
        <w:t>nternational trade in goods, services an</w:t>
      </w:r>
      <w:r w:rsidR="5167BD83">
        <w:t>d</w:t>
      </w:r>
      <w:r>
        <w:t xml:space="preserve"> investment flows across countries. </w:t>
      </w:r>
      <w:r w:rsidR="2AA3EC80">
        <w:t xml:space="preserve">Production </w:t>
      </w:r>
      <w:r w:rsidR="64A3E090">
        <w:t>arrangements have become</w:t>
      </w:r>
      <w:r w:rsidR="6C29D718">
        <w:t xml:space="preserve"> more </w:t>
      </w:r>
      <w:r w:rsidR="64A3E090">
        <w:t>fragmented</w:t>
      </w:r>
      <w:r w:rsidR="6C29D718">
        <w:t xml:space="preserve"> </w:t>
      </w:r>
      <w:r w:rsidR="276F2372">
        <w:t>over time</w:t>
      </w:r>
      <w:r w:rsidR="190445CD">
        <w:t xml:space="preserve"> where it </w:t>
      </w:r>
      <w:r w:rsidR="18365B19">
        <w:t xml:space="preserve">is increasingly common that the assembly of a </w:t>
      </w:r>
      <w:r w:rsidR="7A7D7C2B">
        <w:t xml:space="preserve">complete </w:t>
      </w:r>
      <w:r w:rsidR="18365B19">
        <w:t xml:space="preserve">product can </w:t>
      </w:r>
      <w:r w:rsidR="7A7D7C2B">
        <w:t xml:space="preserve">span several countries. </w:t>
      </w:r>
      <w:r w:rsidR="58C97C6B">
        <w:t>Multinational Enterprises (MNEs) have become more prominent</w:t>
      </w:r>
      <w:r w:rsidR="629F8D46">
        <w:t>,</w:t>
      </w:r>
      <w:r w:rsidR="58C97C6B">
        <w:t xml:space="preserve"> allowing </w:t>
      </w:r>
      <w:r w:rsidR="4F2E0AFB">
        <w:t>the production of goods and services to take place</w:t>
      </w:r>
      <w:r w:rsidR="67602E01">
        <w:t xml:space="preserve"> in countries</w:t>
      </w:r>
      <w:r w:rsidR="4F2E0AFB">
        <w:t xml:space="preserve"> without </w:t>
      </w:r>
      <w:r w:rsidR="1EB33719">
        <w:t xml:space="preserve">requiring </w:t>
      </w:r>
      <w:r w:rsidR="0E51727C">
        <w:t>companies to have a</w:t>
      </w:r>
      <w:r w:rsidR="67602E01">
        <w:t xml:space="preserve"> significant</w:t>
      </w:r>
      <w:r w:rsidR="1EB33719">
        <w:t xml:space="preserve"> </w:t>
      </w:r>
      <w:r w:rsidR="0E51727C">
        <w:t xml:space="preserve">physical </w:t>
      </w:r>
      <w:r w:rsidR="1EB33719">
        <w:t>presence</w:t>
      </w:r>
      <w:r w:rsidR="67602E01">
        <w:t>.</w:t>
      </w:r>
    </w:p>
    <w:p w14:paraId="66D6007C" w14:textId="5A06EC23" w:rsidR="00655282" w:rsidRDefault="2B0DC254" w:rsidP="3D146221">
      <w:r>
        <w:t xml:space="preserve">The recent COVID-19 pandemic highlighted the importance of understanding Global Value Chains </w:t>
      </w:r>
      <w:r w:rsidR="2B79C360">
        <w:t xml:space="preserve">and </w:t>
      </w:r>
      <w:r w:rsidR="3BF83372">
        <w:t>their impacts on a country'</w:t>
      </w:r>
      <w:r w:rsidR="2B79C360">
        <w:t xml:space="preserve">s supply chain resilience. </w:t>
      </w:r>
    </w:p>
    <w:p w14:paraId="475A90CC" w14:textId="5A656000" w:rsidR="00A25E18" w:rsidRDefault="5E42F72B" w:rsidP="6C3EC2CD">
      <w:r>
        <w:t xml:space="preserve"> MNEs</w:t>
      </w:r>
      <w:r w:rsidR="654C3E8B">
        <w:t xml:space="preserve"> have made greater use of Special Purpose Entities (SPEs)</w:t>
      </w:r>
      <w:r w:rsidR="12DFDA12">
        <w:t>,</w:t>
      </w:r>
      <w:r w:rsidR="654C3E8B">
        <w:t xml:space="preserve"> which </w:t>
      </w:r>
      <w:r w:rsidR="196EA7D7">
        <w:t>have enabled companies to shift profits</w:t>
      </w:r>
      <w:r w:rsidR="70D02ED3">
        <w:t xml:space="preserve"> and intellectual property</w:t>
      </w:r>
      <w:r w:rsidR="196EA7D7">
        <w:t xml:space="preserve"> to low</w:t>
      </w:r>
      <w:r w:rsidR="52F625CF">
        <w:t>-</w:t>
      </w:r>
      <w:r w:rsidR="196EA7D7">
        <w:t xml:space="preserve">tax </w:t>
      </w:r>
      <w:r w:rsidR="170632DB">
        <w:t>jurisdictions</w:t>
      </w:r>
      <w:r w:rsidR="196EA7D7">
        <w:t xml:space="preserve"> to minimise</w:t>
      </w:r>
      <w:r w:rsidR="170632DB">
        <w:t xml:space="preserve"> </w:t>
      </w:r>
      <w:r w:rsidR="4F8CF467">
        <w:t xml:space="preserve">tax obligations. </w:t>
      </w:r>
    </w:p>
    <w:p w14:paraId="203747AB" w14:textId="0A0ED8A8" w:rsidR="00A25E18" w:rsidRDefault="4F8CF467" w:rsidP="6C3EC2CD">
      <w:r>
        <w:t>Th</w:t>
      </w:r>
      <w:r w:rsidR="76F43E8E">
        <w:t xml:space="preserve">e impacts of globalisation </w:t>
      </w:r>
      <w:r w:rsidR="44BA5B11">
        <w:t xml:space="preserve">are often masked within conventional </w:t>
      </w:r>
      <w:r w:rsidR="716D9141">
        <w:t>economic statistics particularly</w:t>
      </w:r>
      <w:r w:rsidR="04790338">
        <w:t xml:space="preserve"> measures of international trade and investment flows</w:t>
      </w:r>
      <w:r w:rsidR="18018AB0">
        <w:t xml:space="preserve"> and positions</w:t>
      </w:r>
      <w:r w:rsidR="04790338">
        <w:t>.</w:t>
      </w:r>
      <w:r w:rsidR="44BA5B11">
        <w:t xml:space="preserve"> In some cases</w:t>
      </w:r>
      <w:r w:rsidR="1092E531">
        <w:t>,</w:t>
      </w:r>
      <w:r w:rsidR="44BA5B11">
        <w:t xml:space="preserve"> the </w:t>
      </w:r>
      <w:r w:rsidR="6E171F4F">
        <w:t xml:space="preserve">activities of </w:t>
      </w:r>
      <w:r w:rsidR="0ABD58CB">
        <w:t>MNEs</w:t>
      </w:r>
      <w:r w:rsidR="6E171F4F">
        <w:t xml:space="preserve"> can lead to a distortion </w:t>
      </w:r>
      <w:r w:rsidR="1E9B2420">
        <w:t xml:space="preserve">of these statistics making it difficult for policymakers to determine the economic impact </w:t>
      </w:r>
      <w:r w:rsidR="2052E4CE">
        <w:t xml:space="preserve">this activity has </w:t>
      </w:r>
      <w:r w:rsidR="1E9B2420">
        <w:t xml:space="preserve">on their </w:t>
      </w:r>
      <w:r w:rsidR="5BC2EA93">
        <w:t xml:space="preserve">economies. </w:t>
      </w:r>
    </w:p>
    <w:p w14:paraId="4EC54183" w14:textId="11E12AF6" w:rsidR="00C3759F" w:rsidRDefault="4D65BC88" w:rsidP="004149FA">
      <w:r>
        <w:t xml:space="preserve">No fundamental changes to the core framework </w:t>
      </w:r>
      <w:r w:rsidR="49D26AD9">
        <w:t>will be</w:t>
      </w:r>
      <w:r>
        <w:t xml:space="preserve"> made in the new manuals;</w:t>
      </w:r>
      <w:r w:rsidR="5E402B3F">
        <w:t xml:space="preserve"> </w:t>
      </w:r>
      <w:proofErr w:type="gramStart"/>
      <w:r w:rsidR="5E402B3F">
        <w:t>however</w:t>
      </w:r>
      <w:proofErr w:type="gramEnd"/>
      <w:r w:rsidR="5E402B3F">
        <w:t xml:space="preserve"> </w:t>
      </w:r>
      <w:r w:rsidR="60592EF8">
        <w:t xml:space="preserve">a range of recommendations provide additional </w:t>
      </w:r>
      <w:r w:rsidR="2DA5A44D">
        <w:t>breakdowns and clarifications to allow policymakers and users to better understand</w:t>
      </w:r>
      <w:r w:rsidR="479DBE1C">
        <w:t xml:space="preserve"> </w:t>
      </w:r>
      <w:r w:rsidR="2DA5A44D">
        <w:t xml:space="preserve">the </w:t>
      </w:r>
      <w:r w:rsidR="5BEDB704">
        <w:t xml:space="preserve">underlying economic activities and behaviour which is taking place. </w:t>
      </w:r>
    </w:p>
    <w:p w14:paraId="52960F53" w14:textId="5572C899" w:rsidR="4E991560" w:rsidRDefault="4E991560"/>
    <w:tbl>
      <w:tblPr>
        <w:tblStyle w:val="TableGrid"/>
        <w:tblW w:w="0" w:type="auto"/>
        <w:tblLook w:val="04A0" w:firstRow="1" w:lastRow="0" w:firstColumn="1" w:lastColumn="0" w:noHBand="0" w:noVBand="1"/>
      </w:tblPr>
      <w:tblGrid>
        <w:gridCol w:w="3116"/>
        <w:gridCol w:w="3117"/>
        <w:gridCol w:w="3117"/>
      </w:tblGrid>
      <w:tr w:rsidR="00A65888" w14:paraId="7A92F556" w14:textId="77777777" w:rsidTr="4E991560">
        <w:tc>
          <w:tcPr>
            <w:tcW w:w="3116" w:type="dxa"/>
          </w:tcPr>
          <w:p w14:paraId="29D4657C" w14:textId="5996B341" w:rsidR="00A65888" w:rsidRPr="00AD04EC" w:rsidRDefault="2052594A" w:rsidP="004149FA">
            <w:pPr>
              <w:rPr>
                <w:b/>
                <w:bCs/>
              </w:rPr>
            </w:pPr>
            <w:r w:rsidRPr="3D1EE2B6">
              <w:rPr>
                <w:b/>
                <w:bCs/>
              </w:rPr>
              <w:t>Change/Recommendation</w:t>
            </w:r>
          </w:p>
        </w:tc>
        <w:tc>
          <w:tcPr>
            <w:tcW w:w="3117" w:type="dxa"/>
          </w:tcPr>
          <w:p w14:paraId="54460450" w14:textId="73E78999" w:rsidR="00A65888" w:rsidRPr="00AD04EC" w:rsidRDefault="2052594A" w:rsidP="004149FA">
            <w:pPr>
              <w:rPr>
                <w:b/>
                <w:bCs/>
              </w:rPr>
            </w:pPr>
            <w:r w:rsidRPr="3D1EE2B6">
              <w:rPr>
                <w:b/>
                <w:bCs/>
              </w:rPr>
              <w:t xml:space="preserve">New statistical </w:t>
            </w:r>
            <w:r w:rsidR="7EFC1FC8" w:rsidRPr="3D1EE2B6">
              <w:rPr>
                <w:b/>
                <w:bCs/>
              </w:rPr>
              <w:t>o</w:t>
            </w:r>
            <w:r w:rsidRPr="3D1EE2B6">
              <w:rPr>
                <w:b/>
                <w:bCs/>
              </w:rPr>
              <w:t>utput</w:t>
            </w:r>
          </w:p>
        </w:tc>
        <w:tc>
          <w:tcPr>
            <w:tcW w:w="3117" w:type="dxa"/>
          </w:tcPr>
          <w:p w14:paraId="1D2048BB" w14:textId="116621B4" w:rsidR="00A65888" w:rsidRPr="00AD04EC" w:rsidRDefault="77146B98" w:rsidP="004149FA">
            <w:pPr>
              <w:rPr>
                <w:b/>
                <w:bCs/>
              </w:rPr>
            </w:pPr>
            <w:r w:rsidRPr="3D1EE2B6">
              <w:rPr>
                <w:b/>
                <w:bCs/>
              </w:rPr>
              <w:t>Benefits</w:t>
            </w:r>
          </w:p>
        </w:tc>
      </w:tr>
      <w:tr w:rsidR="00C51023" w14:paraId="668EC083" w14:textId="77777777" w:rsidTr="4E991560">
        <w:tc>
          <w:tcPr>
            <w:tcW w:w="3116" w:type="dxa"/>
          </w:tcPr>
          <w:p w14:paraId="4855FC87" w14:textId="14663982" w:rsidR="00C51023" w:rsidRDefault="75CDB3A5" w:rsidP="004149FA">
            <w:r>
              <w:t xml:space="preserve">Breakdown of </w:t>
            </w:r>
            <w:r w:rsidR="0DBC03C9">
              <w:t>MNEs</w:t>
            </w:r>
            <w:r>
              <w:t xml:space="preserve"> within Balance of Payments statistics. </w:t>
            </w:r>
          </w:p>
        </w:tc>
        <w:tc>
          <w:tcPr>
            <w:tcW w:w="3117" w:type="dxa"/>
          </w:tcPr>
          <w:p w14:paraId="1AD92C9F" w14:textId="4335C804" w:rsidR="00C51023" w:rsidRDefault="26A451E5" w:rsidP="009509CA">
            <w:r>
              <w:t xml:space="preserve">Additional breakdown of </w:t>
            </w:r>
            <w:r w:rsidR="1D607886">
              <w:t xml:space="preserve">exports and imports of goods and services (on BOP basis) </w:t>
            </w:r>
            <w:r w:rsidR="3C59482D">
              <w:t>broken down by domestic</w:t>
            </w:r>
            <w:r w:rsidR="5286EBE9">
              <w:t xml:space="preserve"> </w:t>
            </w:r>
            <w:r w:rsidR="3C59482D">
              <w:t>MNE</w:t>
            </w:r>
            <w:r w:rsidR="095424EF">
              <w:t>s</w:t>
            </w:r>
            <w:r w:rsidR="3C59482D">
              <w:t xml:space="preserve">, foreign controlled </w:t>
            </w:r>
            <w:r w:rsidR="3C59482D">
              <w:lastRenderedPageBreak/>
              <w:t>MNE</w:t>
            </w:r>
            <w:r w:rsidR="1EBB18E8">
              <w:t>s</w:t>
            </w:r>
            <w:r w:rsidR="5286EBE9">
              <w:t xml:space="preserve">, and other domestic enterprises. </w:t>
            </w:r>
          </w:p>
          <w:p w14:paraId="25C591AC" w14:textId="5BCDAC3D" w:rsidR="00C51023" w:rsidRDefault="00C51023" w:rsidP="009509CA"/>
        </w:tc>
        <w:tc>
          <w:tcPr>
            <w:tcW w:w="3117" w:type="dxa"/>
          </w:tcPr>
          <w:p w14:paraId="27724A07" w14:textId="0BF7E0E5" w:rsidR="00C51023" w:rsidRDefault="36CB3D5C" w:rsidP="004149FA">
            <w:r>
              <w:lastRenderedPageBreak/>
              <w:t>Improve policymakers</w:t>
            </w:r>
            <w:r w:rsidR="288FA235">
              <w:t>’</w:t>
            </w:r>
            <w:r>
              <w:t xml:space="preserve"> ability to analyse the impacts </w:t>
            </w:r>
            <w:proofErr w:type="gramStart"/>
            <w:r>
              <w:t xml:space="preserve">that  </w:t>
            </w:r>
            <w:r w:rsidR="5537CB0E">
              <w:t>MNEs</w:t>
            </w:r>
            <w:proofErr w:type="gramEnd"/>
            <w:r w:rsidR="5537CB0E">
              <w:t xml:space="preserve">’ </w:t>
            </w:r>
            <w:r>
              <w:t>have on their domestic economies.</w:t>
            </w:r>
          </w:p>
        </w:tc>
      </w:tr>
      <w:tr w:rsidR="00616065" w14:paraId="55581A4C" w14:textId="77777777" w:rsidTr="4E991560">
        <w:tc>
          <w:tcPr>
            <w:tcW w:w="3116" w:type="dxa"/>
          </w:tcPr>
          <w:p w14:paraId="5485B2F4" w14:textId="4FFBE118" w:rsidR="00616065" w:rsidRDefault="7958CC8B" w:rsidP="004149FA">
            <w:r>
              <w:t>Greater disaggregation</w:t>
            </w:r>
            <w:r w:rsidR="021C1708">
              <w:t xml:space="preserve"> of </w:t>
            </w:r>
            <w:r>
              <w:t xml:space="preserve">institutional sector </w:t>
            </w:r>
            <w:r w:rsidR="2ECCD204">
              <w:t xml:space="preserve">classification   </w:t>
            </w:r>
            <w:r>
              <w:t>for MNE</w:t>
            </w:r>
            <w:r w:rsidR="21172264">
              <w:t>s</w:t>
            </w:r>
            <w:r>
              <w:t xml:space="preserve"> and SPEs. </w:t>
            </w:r>
          </w:p>
        </w:tc>
        <w:tc>
          <w:tcPr>
            <w:tcW w:w="3117" w:type="dxa"/>
          </w:tcPr>
          <w:p w14:paraId="17758C84" w14:textId="598BADB7" w:rsidR="00616065" w:rsidRDefault="310757B8" w:rsidP="00C631CC">
            <w:r>
              <w:t>Non-financial and financial c</w:t>
            </w:r>
            <w:r w:rsidR="53AEC8BF">
              <w:t>orporation sector</w:t>
            </w:r>
            <w:r>
              <w:t>s</w:t>
            </w:r>
            <w:r w:rsidR="53AEC8BF">
              <w:t xml:space="preserve"> will be further disaggregated to </w:t>
            </w:r>
            <w:r w:rsidR="6588C494">
              <w:t>show “of which” items for domestically controlled public and private corporations</w:t>
            </w:r>
            <w:r w:rsidR="1924DC63">
              <w:t xml:space="preserve"> </w:t>
            </w:r>
            <w:r w:rsidR="6588C494">
              <w:t xml:space="preserve">that are part of a domestic multinational corporation. </w:t>
            </w:r>
            <w:r>
              <w:t xml:space="preserve">There will also be a new </w:t>
            </w:r>
            <w:r w:rsidR="2CFB986A">
              <w:t>“</w:t>
            </w:r>
            <w:r>
              <w:t xml:space="preserve">of which” category for foreign controlled Special Purpose Entities (SPEs) for nonfinancial corporations. </w:t>
            </w:r>
          </w:p>
          <w:p w14:paraId="282F20EB" w14:textId="158555B0" w:rsidR="00616065" w:rsidRDefault="00616065" w:rsidP="00C631CC"/>
        </w:tc>
        <w:tc>
          <w:tcPr>
            <w:tcW w:w="3117" w:type="dxa"/>
          </w:tcPr>
          <w:p w14:paraId="330EAEE3" w14:textId="1AE85EEB" w:rsidR="00616065" w:rsidRDefault="49426D1B" w:rsidP="004149FA">
            <w:r>
              <w:t>Improve policymakers</w:t>
            </w:r>
            <w:r w:rsidR="6D58414E">
              <w:t>’</w:t>
            </w:r>
            <w:r>
              <w:t xml:space="preserve"> ability to analyse the impacts that MNE</w:t>
            </w:r>
            <w:r w:rsidR="74C6D040">
              <w:t>s</w:t>
            </w:r>
            <w:r>
              <w:t xml:space="preserve"> and SPE</w:t>
            </w:r>
            <w:r w:rsidR="4B8905AA">
              <w:t>s</w:t>
            </w:r>
            <w:r>
              <w:t xml:space="preserve"> have on their domestic economies.</w:t>
            </w:r>
          </w:p>
        </w:tc>
      </w:tr>
      <w:tr w:rsidR="00A65888" w14:paraId="67B23C71" w14:textId="77777777" w:rsidTr="4E991560">
        <w:tc>
          <w:tcPr>
            <w:tcW w:w="3116" w:type="dxa"/>
          </w:tcPr>
          <w:p w14:paraId="72DAE86A" w14:textId="0B2571C5" w:rsidR="00A65888" w:rsidRDefault="1847C762" w:rsidP="004149FA">
            <w:r>
              <w:t>Breakdown of MNE</w:t>
            </w:r>
            <w:r w:rsidR="2A327214">
              <w:t>s within Extended Supply Use Tab</w:t>
            </w:r>
            <w:r w:rsidR="767B86F4">
              <w:t>l</w:t>
            </w:r>
            <w:r w:rsidR="2A327214">
              <w:t>e (</w:t>
            </w:r>
            <w:proofErr w:type="spellStart"/>
            <w:r w:rsidR="2A327214">
              <w:t>eSUT</w:t>
            </w:r>
            <w:proofErr w:type="spellEnd"/>
            <w:r w:rsidR="2A327214">
              <w:t>)</w:t>
            </w:r>
          </w:p>
        </w:tc>
        <w:tc>
          <w:tcPr>
            <w:tcW w:w="3117" w:type="dxa"/>
          </w:tcPr>
          <w:p w14:paraId="39B4C0E7" w14:textId="41E5A9F2" w:rsidR="009509CA" w:rsidRPr="009509CA" w:rsidRDefault="2A327214" w:rsidP="009509CA">
            <w:r>
              <w:t>Supplementary table showing</w:t>
            </w:r>
            <w:r w:rsidR="37CA3C2A">
              <w:t xml:space="preserve"> </w:t>
            </w:r>
            <w:r w:rsidR="3FAFC8AD">
              <w:t xml:space="preserve">relevant industries broken down into enterprises operating domestically, enterprises controlled by </w:t>
            </w:r>
          </w:p>
          <w:p w14:paraId="5313143B" w14:textId="66593F66" w:rsidR="00A65888" w:rsidRDefault="3FAFC8AD" w:rsidP="009509CA">
            <w:r>
              <w:t>domestic MNEs, and foreign controlled affiliates of foreign MNEs</w:t>
            </w:r>
          </w:p>
        </w:tc>
        <w:tc>
          <w:tcPr>
            <w:tcW w:w="3117" w:type="dxa"/>
          </w:tcPr>
          <w:p w14:paraId="1DFC00AA" w14:textId="7554415F" w:rsidR="00A65888" w:rsidRDefault="04F3FDC6" w:rsidP="004149FA">
            <w:r>
              <w:t xml:space="preserve">Improve </w:t>
            </w:r>
            <w:r w:rsidR="310BE761">
              <w:t>policymakers</w:t>
            </w:r>
            <w:r w:rsidR="6BC9C691">
              <w:t>’</w:t>
            </w:r>
            <w:r>
              <w:t xml:space="preserve"> ability to </w:t>
            </w:r>
            <w:r w:rsidR="36CB3D5C">
              <w:t>analyse</w:t>
            </w:r>
            <w:r>
              <w:t xml:space="preserve"> the impacts that MNE</w:t>
            </w:r>
            <w:r w:rsidR="53BD1F00">
              <w:t>s</w:t>
            </w:r>
            <w:r>
              <w:t xml:space="preserve"> have on their domestic </w:t>
            </w:r>
            <w:r w:rsidR="310BE761">
              <w:t xml:space="preserve">economies. </w:t>
            </w:r>
          </w:p>
        </w:tc>
      </w:tr>
      <w:tr w:rsidR="00A65888" w14:paraId="20092897" w14:textId="77777777" w:rsidTr="4E991560">
        <w:tc>
          <w:tcPr>
            <w:tcW w:w="3116" w:type="dxa"/>
          </w:tcPr>
          <w:p w14:paraId="3BC5AE37" w14:textId="31BEEBC1" w:rsidR="00A65888" w:rsidRDefault="52E81696" w:rsidP="004149FA">
            <w:r>
              <w:t>Trade in Value Added</w:t>
            </w:r>
            <w:r w:rsidR="34459D31">
              <w:t xml:space="preserve"> indicators</w:t>
            </w:r>
            <w:r>
              <w:t xml:space="preserve"> (TiVA</w:t>
            </w:r>
            <w:r w:rsidR="34459D31">
              <w:t xml:space="preserve">) </w:t>
            </w:r>
          </w:p>
        </w:tc>
        <w:tc>
          <w:tcPr>
            <w:tcW w:w="3117" w:type="dxa"/>
          </w:tcPr>
          <w:p w14:paraId="29B954CA" w14:textId="23D1976F" w:rsidR="00A65888" w:rsidRDefault="4D9C5D33" w:rsidP="004149FA">
            <w:r>
              <w:t>S</w:t>
            </w:r>
            <w:r w:rsidR="1B87EBD3">
              <w:t>upplementary table which shows trade flows re</w:t>
            </w:r>
            <w:r>
              <w:t>-</w:t>
            </w:r>
            <w:r w:rsidR="74B0E970">
              <w:t>calculated</w:t>
            </w:r>
            <w:r w:rsidR="1B87EBD3">
              <w:t xml:space="preserve"> on a “value adde</w:t>
            </w:r>
            <w:r>
              <w:t>d</w:t>
            </w:r>
            <w:r w:rsidR="1B87EBD3">
              <w:t>” basis</w:t>
            </w:r>
            <w:r>
              <w:t xml:space="preserve">. </w:t>
            </w:r>
          </w:p>
        </w:tc>
        <w:tc>
          <w:tcPr>
            <w:tcW w:w="3117" w:type="dxa"/>
          </w:tcPr>
          <w:p w14:paraId="0165645B" w14:textId="77777777" w:rsidR="003B2F30" w:rsidRDefault="23792686" w:rsidP="00B84726">
            <w:r>
              <w:t xml:space="preserve">Addresses the inherent double counting that exists in gross trade flows. </w:t>
            </w:r>
          </w:p>
          <w:p w14:paraId="45F696EF" w14:textId="11944D47" w:rsidR="00A65888" w:rsidRDefault="5500CA7E" w:rsidP="00B84726">
            <w:r>
              <w:t>Improve understanding of how much domestic value added is generated by the export of a good or service in a country</w:t>
            </w:r>
            <w:r w:rsidR="23792686">
              <w:t xml:space="preserve">. </w:t>
            </w:r>
          </w:p>
        </w:tc>
      </w:tr>
      <w:tr w:rsidR="00A65888" w14:paraId="4ACA1031" w14:textId="77777777" w:rsidTr="4E991560">
        <w:tc>
          <w:tcPr>
            <w:tcW w:w="3116" w:type="dxa"/>
          </w:tcPr>
          <w:p w14:paraId="1A66F390" w14:textId="2CA0FA8F" w:rsidR="00A65888" w:rsidRDefault="53B6382E" w:rsidP="004149FA">
            <w:r>
              <w:t xml:space="preserve">Global Value Chains </w:t>
            </w:r>
            <w:r w:rsidR="4EE8A2F1">
              <w:t>(GVCs)</w:t>
            </w:r>
            <w:r w:rsidR="337BDAF1">
              <w:t xml:space="preserve"> </w:t>
            </w:r>
          </w:p>
        </w:tc>
        <w:tc>
          <w:tcPr>
            <w:tcW w:w="3117" w:type="dxa"/>
          </w:tcPr>
          <w:p w14:paraId="3736EB87" w14:textId="774263F2" w:rsidR="00A65888" w:rsidRDefault="69ADD81E" w:rsidP="004149FA">
            <w:r>
              <w:t xml:space="preserve">Supplementary table(s) showing a breakdown of industries and products </w:t>
            </w:r>
            <w:r w:rsidR="4341F7AE">
              <w:t xml:space="preserve">produced within a </w:t>
            </w:r>
            <w:r w:rsidR="70EA6999">
              <w:t>GVC</w:t>
            </w:r>
            <w:r w:rsidR="5D7B5B8A">
              <w:t xml:space="preserve"> </w:t>
            </w:r>
            <w:r w:rsidR="19CC4657">
              <w:t>using a</w:t>
            </w:r>
            <w:r w:rsidR="5D7B5B8A">
              <w:t xml:space="preserve"> Satellite account approach</w:t>
            </w:r>
          </w:p>
          <w:p w14:paraId="7A9A9275" w14:textId="393D11FE" w:rsidR="00A65888" w:rsidRDefault="00A65888" w:rsidP="004149FA"/>
        </w:tc>
        <w:tc>
          <w:tcPr>
            <w:tcW w:w="3117" w:type="dxa"/>
          </w:tcPr>
          <w:p w14:paraId="16F186B8" w14:textId="6A3E8188" w:rsidR="00A65888" w:rsidRDefault="25C6B8EE" w:rsidP="004149FA">
            <w:r>
              <w:t xml:space="preserve">Enable users to undertake GVC analysis for industries and products which are </w:t>
            </w:r>
            <w:r w:rsidR="3AC94672">
              <w:t xml:space="preserve">important for their domestic economies. </w:t>
            </w:r>
          </w:p>
        </w:tc>
      </w:tr>
      <w:tr w:rsidR="00A65888" w14:paraId="757AB8E8" w14:textId="77777777" w:rsidTr="4E991560">
        <w:tc>
          <w:tcPr>
            <w:tcW w:w="3116" w:type="dxa"/>
          </w:tcPr>
          <w:p w14:paraId="1D9DFB5F" w14:textId="77777777" w:rsidR="00CD0B12" w:rsidRPr="00CD0B12" w:rsidRDefault="5C9C651D" w:rsidP="00CD0B12">
            <w:r>
              <w:t xml:space="preserve">Ultimate Investing Economy/Ultimate Host </w:t>
            </w:r>
          </w:p>
          <w:p w14:paraId="44DC0F5A" w14:textId="50C139E3" w:rsidR="00A65888" w:rsidRDefault="5C9C651D" w:rsidP="00CD0B12">
            <w:r>
              <w:t>Economy and Pass-through Funds</w:t>
            </w:r>
          </w:p>
        </w:tc>
        <w:tc>
          <w:tcPr>
            <w:tcW w:w="3117" w:type="dxa"/>
          </w:tcPr>
          <w:p w14:paraId="54ED079B" w14:textId="3947B6BD" w:rsidR="00A65888" w:rsidRDefault="779F06AD" w:rsidP="00580E79">
            <w:r>
              <w:t xml:space="preserve">Supplementary table </w:t>
            </w:r>
            <w:r w:rsidR="7996D662">
              <w:t xml:space="preserve">which presents an alternative view of Direct Investment Statistics. </w:t>
            </w:r>
            <w:r w:rsidR="3A292469">
              <w:t>The table would show</w:t>
            </w:r>
            <w:r w:rsidR="54B7E268">
              <w:t xml:space="preserve"> international</w:t>
            </w:r>
            <w:r w:rsidR="3A292469">
              <w:t xml:space="preserve"> </w:t>
            </w:r>
            <w:r w:rsidR="54B7E268">
              <w:t xml:space="preserve">flow of funds and positions which are attributable to Ultimate Investing Economy, Ultimate </w:t>
            </w:r>
            <w:r w:rsidR="54B7E268">
              <w:lastRenderedPageBreak/>
              <w:t>Host Economy and Pass-through Funds</w:t>
            </w:r>
            <w:r w:rsidR="5B52518F">
              <w:t xml:space="preserve">. </w:t>
            </w:r>
          </w:p>
          <w:p w14:paraId="4945CA95" w14:textId="33FD264A" w:rsidR="00A65888" w:rsidRDefault="00A65888" w:rsidP="00580E79"/>
        </w:tc>
        <w:tc>
          <w:tcPr>
            <w:tcW w:w="3117" w:type="dxa"/>
          </w:tcPr>
          <w:p w14:paraId="15799CA2" w14:textId="0E1DB416" w:rsidR="00A65888" w:rsidRDefault="0E357C30" w:rsidP="004149FA">
            <w:r>
              <w:lastRenderedPageBreak/>
              <w:t>Improve analysis of direct investment statistics. Allows a better understanding of the</w:t>
            </w:r>
            <w:r w:rsidR="12986124">
              <w:t xml:space="preserve"> relationship and influence an entity </w:t>
            </w:r>
            <w:r w:rsidR="3ED1825E">
              <w:t xml:space="preserve">in one country on an entity in another country. </w:t>
            </w:r>
          </w:p>
        </w:tc>
      </w:tr>
      <w:tr w:rsidR="00A65888" w14:paraId="7F3F6A34" w14:textId="77777777" w:rsidTr="4E991560">
        <w:tc>
          <w:tcPr>
            <w:tcW w:w="3116" w:type="dxa"/>
          </w:tcPr>
          <w:p w14:paraId="0014961E" w14:textId="6975849D" w:rsidR="00A65888" w:rsidRDefault="0C48183D" w:rsidP="004149FA">
            <w:r>
              <w:t>Greenfield investment and Extension of capacity</w:t>
            </w:r>
          </w:p>
        </w:tc>
        <w:tc>
          <w:tcPr>
            <w:tcW w:w="3117" w:type="dxa"/>
          </w:tcPr>
          <w:p w14:paraId="15A1C5B4" w14:textId="02E75B42" w:rsidR="00E93704" w:rsidRDefault="648F70C3" w:rsidP="004149FA">
            <w:r>
              <w:t xml:space="preserve">Measures of Greenfield investment using the transaction approach. </w:t>
            </w:r>
          </w:p>
          <w:p w14:paraId="26B0B1DA" w14:textId="2799F28E" w:rsidR="00A65888" w:rsidRDefault="570DA647" w:rsidP="004149FA">
            <w:r>
              <w:t xml:space="preserve">Supplementary table </w:t>
            </w:r>
            <w:r w:rsidR="1FCA0F60">
              <w:t xml:space="preserve">showing </w:t>
            </w:r>
            <w:r w:rsidR="0A055989">
              <w:t xml:space="preserve">inward direct investment broken </w:t>
            </w:r>
            <w:r w:rsidR="2600238A">
              <w:t xml:space="preserve">down by </w:t>
            </w:r>
            <w:r w:rsidR="6B8CACAC">
              <w:t xml:space="preserve">purpose – Mergers and acquisition, </w:t>
            </w:r>
            <w:r w:rsidR="1A61E8B9">
              <w:t xml:space="preserve">Transactions related to newly created direct investment enterprises, extension of capacity, </w:t>
            </w:r>
            <w:r w:rsidR="524AC11F">
              <w:t xml:space="preserve">other DI flows. </w:t>
            </w:r>
            <w:r w:rsidR="1FCA0F60">
              <w:t xml:space="preserve"> </w:t>
            </w:r>
          </w:p>
          <w:p w14:paraId="30CFBDDD" w14:textId="47C7598E" w:rsidR="00A65888" w:rsidRDefault="00A65888" w:rsidP="004149FA"/>
        </w:tc>
        <w:tc>
          <w:tcPr>
            <w:tcW w:w="3117" w:type="dxa"/>
          </w:tcPr>
          <w:p w14:paraId="2CB38D45" w14:textId="58BD64C6" w:rsidR="00A65888" w:rsidRDefault="14A4DD3F" w:rsidP="004149FA">
            <w:r>
              <w:t xml:space="preserve">Enable policymakers to better understand the impacts of direct investment on their domestic economy. </w:t>
            </w:r>
          </w:p>
        </w:tc>
      </w:tr>
    </w:tbl>
    <w:p w14:paraId="1E3C3BC4" w14:textId="77777777" w:rsidR="00454580" w:rsidRPr="004149FA" w:rsidRDefault="00454580" w:rsidP="004149FA"/>
    <w:p w14:paraId="5212D9F5" w14:textId="770907F1" w:rsidR="005C7789" w:rsidRDefault="1A547A2E" w:rsidP="005C7789">
      <w:pPr>
        <w:pStyle w:val="Heading2"/>
      </w:pPr>
      <w:r>
        <w:t>Financial and International Investment</w:t>
      </w:r>
    </w:p>
    <w:tbl>
      <w:tblPr>
        <w:tblStyle w:val="TableGrid"/>
        <w:tblW w:w="0" w:type="auto"/>
        <w:tblLook w:val="04A0" w:firstRow="1" w:lastRow="0" w:firstColumn="1" w:lastColumn="0" w:noHBand="0" w:noVBand="1"/>
      </w:tblPr>
      <w:tblGrid>
        <w:gridCol w:w="3116"/>
        <w:gridCol w:w="3117"/>
        <w:gridCol w:w="3117"/>
      </w:tblGrid>
      <w:tr w:rsidR="006E7734" w:rsidRPr="00AD04EC" w14:paraId="0DE4A802" w14:textId="77777777" w:rsidTr="4E991560">
        <w:tc>
          <w:tcPr>
            <w:tcW w:w="3116" w:type="dxa"/>
          </w:tcPr>
          <w:p w14:paraId="1B4510D1" w14:textId="77777777" w:rsidR="006E7734" w:rsidRPr="00AD04EC" w:rsidRDefault="6E4816B6" w:rsidP="006F2887">
            <w:pPr>
              <w:rPr>
                <w:b/>
                <w:bCs/>
              </w:rPr>
            </w:pPr>
            <w:r w:rsidRPr="3D1EE2B6">
              <w:rPr>
                <w:b/>
                <w:bCs/>
              </w:rPr>
              <w:t>Change/Recommendation</w:t>
            </w:r>
          </w:p>
        </w:tc>
        <w:tc>
          <w:tcPr>
            <w:tcW w:w="3117" w:type="dxa"/>
          </w:tcPr>
          <w:p w14:paraId="43A2E9C8" w14:textId="77777777" w:rsidR="006E7734" w:rsidRPr="00AD04EC" w:rsidRDefault="6E4816B6" w:rsidP="006F2887">
            <w:pPr>
              <w:rPr>
                <w:b/>
                <w:bCs/>
              </w:rPr>
            </w:pPr>
            <w:r w:rsidRPr="3D1EE2B6">
              <w:rPr>
                <w:b/>
                <w:bCs/>
              </w:rPr>
              <w:t>New statistical output</w:t>
            </w:r>
          </w:p>
        </w:tc>
        <w:tc>
          <w:tcPr>
            <w:tcW w:w="3117" w:type="dxa"/>
          </w:tcPr>
          <w:p w14:paraId="5BEF7EE9" w14:textId="77777777" w:rsidR="006E7734" w:rsidRPr="00AD04EC" w:rsidRDefault="6E4816B6" w:rsidP="006F2887">
            <w:pPr>
              <w:rPr>
                <w:b/>
                <w:bCs/>
              </w:rPr>
            </w:pPr>
            <w:r w:rsidRPr="3D1EE2B6">
              <w:rPr>
                <w:b/>
                <w:bCs/>
              </w:rPr>
              <w:t>Benefits</w:t>
            </w:r>
          </w:p>
        </w:tc>
      </w:tr>
      <w:tr w:rsidR="006E7734" w14:paraId="4CACB977" w14:textId="77777777" w:rsidTr="4E991560">
        <w:tc>
          <w:tcPr>
            <w:tcW w:w="3116" w:type="dxa"/>
          </w:tcPr>
          <w:p w14:paraId="180E15C4" w14:textId="22EC5908" w:rsidR="006E7734" w:rsidRDefault="132448EF" w:rsidP="006F2887">
            <w:r>
              <w:t xml:space="preserve">New </w:t>
            </w:r>
            <w:r w:rsidR="36F7802D">
              <w:t>financial sector breakdown</w:t>
            </w:r>
          </w:p>
        </w:tc>
        <w:tc>
          <w:tcPr>
            <w:tcW w:w="3117" w:type="dxa"/>
          </w:tcPr>
          <w:p w14:paraId="693EBD18" w14:textId="4BC32C8D" w:rsidR="00480A4F" w:rsidRDefault="283D8D63" w:rsidP="006F2887">
            <w:r>
              <w:t>Of which items in the financial sector:</w:t>
            </w:r>
          </w:p>
          <w:p w14:paraId="097A4B3C" w14:textId="00737AE8" w:rsidR="006E7734" w:rsidRPr="002713BF" w:rsidRDefault="73684DBA" w:rsidP="002713BF">
            <w:pPr>
              <w:pStyle w:val="ListParagraph"/>
              <w:numPr>
                <w:ilvl w:val="0"/>
                <w:numId w:val="3"/>
              </w:numPr>
            </w:pPr>
            <w:r>
              <w:t>Con</w:t>
            </w:r>
            <w:r w:rsidR="0A331F15">
              <w:t>s</w:t>
            </w:r>
            <w:r>
              <w:t xml:space="preserve">tant and Variable </w:t>
            </w:r>
            <w:r w:rsidR="0A331F15">
              <w:t xml:space="preserve">net asset value </w:t>
            </w:r>
            <w:r w:rsidR="0BBA3F10">
              <w:t>Money Market Investment Funds (</w:t>
            </w:r>
            <w:r w:rsidR="0A331F15">
              <w:t>MMFs</w:t>
            </w:r>
            <w:r w:rsidR="0BBA3F10">
              <w:t>)</w:t>
            </w:r>
          </w:p>
          <w:p w14:paraId="743AF1C0" w14:textId="3F59F157" w:rsidR="00986E34" w:rsidRPr="002713BF" w:rsidRDefault="3C3DA548" w:rsidP="002713BF">
            <w:pPr>
              <w:pStyle w:val="ListParagraph"/>
              <w:numPr>
                <w:ilvl w:val="0"/>
                <w:numId w:val="3"/>
              </w:numPr>
            </w:pPr>
            <w:r>
              <w:t>Open and Closed Investment funds by type</w:t>
            </w:r>
            <w:r w:rsidR="4E6579F7">
              <w:t xml:space="preserve"> (</w:t>
            </w:r>
            <w:r w:rsidR="34D6127D">
              <w:t>real estate, equity, bonds etc…)</w:t>
            </w:r>
            <w:r>
              <w:t xml:space="preserve"> </w:t>
            </w:r>
          </w:p>
          <w:p w14:paraId="605DB4A8" w14:textId="3AC0A67E" w:rsidR="00E5014D" w:rsidRPr="002713BF" w:rsidRDefault="5BE604FC" w:rsidP="002713BF">
            <w:pPr>
              <w:pStyle w:val="ListParagraph"/>
              <w:numPr>
                <w:ilvl w:val="0"/>
                <w:numId w:val="3"/>
              </w:numPr>
            </w:pPr>
            <w:r>
              <w:t>Pension funds by defined benefit and defined contribution</w:t>
            </w:r>
            <w:r w:rsidR="087BAD28">
              <w:t xml:space="preserve"> </w:t>
            </w:r>
          </w:p>
          <w:p w14:paraId="6F65CD27" w14:textId="647B3FC1" w:rsidR="00E5014D" w:rsidRPr="002713BF" w:rsidRDefault="00E5014D" w:rsidP="4E991560">
            <w:pPr>
              <w:pStyle w:val="ListParagraph"/>
              <w:ind w:left="360"/>
            </w:pPr>
          </w:p>
        </w:tc>
        <w:tc>
          <w:tcPr>
            <w:tcW w:w="3117" w:type="dxa"/>
          </w:tcPr>
          <w:p w14:paraId="40A14B82" w14:textId="77777777" w:rsidR="00983CB6" w:rsidRDefault="29D66606" w:rsidP="006F2887">
            <w:r>
              <w:t xml:space="preserve">Allow policymakers to better assess </w:t>
            </w:r>
            <w:r w:rsidR="19888270">
              <w:t>and monitor financial stability.</w:t>
            </w:r>
          </w:p>
          <w:p w14:paraId="2F7C3FEA" w14:textId="62A4A8CE" w:rsidR="006E7734" w:rsidRDefault="6366B612" w:rsidP="006F2887">
            <w:r>
              <w:t>Improved analysis of financial flows</w:t>
            </w:r>
            <w:r w:rsidR="06F70F07">
              <w:t xml:space="preserve"> </w:t>
            </w:r>
            <w:r w:rsidR="7FDB58A8">
              <w:t>and risks</w:t>
            </w:r>
            <w:r w:rsidR="4DD064E5">
              <w:t xml:space="preserve"> in non</w:t>
            </w:r>
            <w:r w:rsidR="3175150A">
              <w:t>-</w:t>
            </w:r>
            <w:r w:rsidR="4DD064E5">
              <w:t>banking sectors</w:t>
            </w:r>
            <w:r w:rsidR="3175150A">
              <w:t xml:space="preserve"> and products. </w:t>
            </w:r>
          </w:p>
        </w:tc>
      </w:tr>
      <w:tr w:rsidR="006E7734" w14:paraId="026FF7DA" w14:textId="77777777" w:rsidTr="4E991560">
        <w:tc>
          <w:tcPr>
            <w:tcW w:w="3116" w:type="dxa"/>
          </w:tcPr>
          <w:p w14:paraId="09CAEA35" w14:textId="57188D34" w:rsidR="006E7734" w:rsidRDefault="246824CC" w:rsidP="006F2887">
            <w:r>
              <w:t>New financial instrument breakdown</w:t>
            </w:r>
          </w:p>
        </w:tc>
        <w:tc>
          <w:tcPr>
            <w:tcW w:w="3117" w:type="dxa"/>
          </w:tcPr>
          <w:p w14:paraId="4887B664" w14:textId="4310E896" w:rsidR="006E7734" w:rsidRDefault="50C2152C" w:rsidP="006F2887">
            <w:r>
              <w:t xml:space="preserve">Of which items for </w:t>
            </w:r>
            <w:r w:rsidR="597D627A">
              <w:t>“</w:t>
            </w:r>
            <w:r>
              <w:t>Repurchase agreements</w:t>
            </w:r>
            <w:r w:rsidR="597D627A">
              <w:t xml:space="preserve">, securities lending with cash collateral and margin lending.” </w:t>
            </w:r>
          </w:p>
        </w:tc>
        <w:tc>
          <w:tcPr>
            <w:tcW w:w="3117" w:type="dxa"/>
          </w:tcPr>
          <w:p w14:paraId="7BA59D21" w14:textId="77777777" w:rsidR="007B22E0" w:rsidRDefault="3175150A" w:rsidP="007B22E0">
            <w:r>
              <w:t>Allow policymakers to better assess and monitor financial stability.</w:t>
            </w:r>
          </w:p>
          <w:p w14:paraId="186D8ACC" w14:textId="77777777" w:rsidR="00ED65C1" w:rsidRDefault="00ED65C1" w:rsidP="007B22E0"/>
          <w:p w14:paraId="196CEA94" w14:textId="1CB9A14B" w:rsidR="006E7734" w:rsidRDefault="3175150A" w:rsidP="007B22E0">
            <w:r>
              <w:t>Improved analysis of financial flows and risks in non-banking sectors and products.</w:t>
            </w:r>
          </w:p>
        </w:tc>
      </w:tr>
      <w:tr w:rsidR="006E7734" w14:paraId="0832222C" w14:textId="77777777" w:rsidTr="4E991560">
        <w:tc>
          <w:tcPr>
            <w:tcW w:w="3116" w:type="dxa"/>
          </w:tcPr>
          <w:p w14:paraId="647B4C1F" w14:textId="623E30EE" w:rsidR="006E7734" w:rsidRDefault="246824CC" w:rsidP="006F2887">
            <w:r>
              <w:t>Financial derivates by type</w:t>
            </w:r>
          </w:p>
        </w:tc>
        <w:tc>
          <w:tcPr>
            <w:tcW w:w="3117" w:type="dxa"/>
          </w:tcPr>
          <w:p w14:paraId="49DFE738" w14:textId="3B12F099" w:rsidR="002713BF" w:rsidRDefault="07568A0C" w:rsidP="00B8797A">
            <w:r>
              <w:t>New financial derivative breakdowns:</w:t>
            </w:r>
          </w:p>
          <w:p w14:paraId="64DB4E5F" w14:textId="6990B0D1" w:rsidR="006E7734" w:rsidRPr="00304F17" w:rsidRDefault="424E99E8" w:rsidP="00304F17">
            <w:pPr>
              <w:pStyle w:val="ListParagraph"/>
              <w:numPr>
                <w:ilvl w:val="0"/>
                <w:numId w:val="4"/>
              </w:numPr>
            </w:pPr>
            <w:r>
              <w:t>B</w:t>
            </w:r>
            <w:r w:rsidR="431055BC">
              <w:t>y market risk category (foreign exchange, single-currency interest rate, equity, commodity, credit, and other)</w:t>
            </w:r>
          </w:p>
          <w:p w14:paraId="66547D28" w14:textId="23377A05" w:rsidR="00B8797A" w:rsidRPr="00304F17" w:rsidRDefault="424E99E8" w:rsidP="00304F17">
            <w:pPr>
              <w:pStyle w:val="ListParagraph"/>
              <w:numPr>
                <w:ilvl w:val="0"/>
                <w:numId w:val="4"/>
              </w:numPr>
            </w:pPr>
            <w:r>
              <w:lastRenderedPageBreak/>
              <w:t>B</w:t>
            </w:r>
            <w:r w:rsidR="58037F3F">
              <w:t>y instrument type options, forwards and related instruments, futures, swaps, credit derivatives, marketable employee stock options, and other instruments</w:t>
            </w:r>
          </w:p>
          <w:p w14:paraId="7E301C9F" w14:textId="0C353662" w:rsidR="004C0D38" w:rsidRPr="00304F17" w:rsidRDefault="1FE6B5D5" w:rsidP="00304F17">
            <w:pPr>
              <w:pStyle w:val="ListParagraph"/>
              <w:numPr>
                <w:ilvl w:val="0"/>
                <w:numId w:val="4"/>
              </w:numPr>
            </w:pPr>
            <w:r>
              <w:t>B</w:t>
            </w:r>
            <w:r w:rsidR="7E279328">
              <w:t xml:space="preserve">y trading venue and clearing status (exchange traded, </w:t>
            </w:r>
            <w:proofErr w:type="gramStart"/>
            <w:r w:rsidR="7E279328">
              <w:t>over-the-counter</w:t>
            </w:r>
            <w:proofErr w:type="gramEnd"/>
            <w:r w:rsidR="7E279328">
              <w:t xml:space="preserve"> (cleared/not cleared) </w:t>
            </w:r>
          </w:p>
          <w:p w14:paraId="692428E3" w14:textId="42E03FAF" w:rsidR="004C0D38" w:rsidRPr="00304F17" w:rsidRDefault="004C0D38" w:rsidP="4E991560">
            <w:pPr>
              <w:pStyle w:val="ListParagraph"/>
              <w:ind w:left="360"/>
            </w:pPr>
          </w:p>
        </w:tc>
        <w:tc>
          <w:tcPr>
            <w:tcW w:w="3117" w:type="dxa"/>
          </w:tcPr>
          <w:p w14:paraId="642C75C7" w14:textId="77777777" w:rsidR="007B22E0" w:rsidRDefault="3175150A" w:rsidP="007B22E0">
            <w:r>
              <w:lastRenderedPageBreak/>
              <w:t>Allow policymakers to better assess and monitor financial stability.</w:t>
            </w:r>
          </w:p>
          <w:p w14:paraId="1C08E804" w14:textId="77777777" w:rsidR="00ED65C1" w:rsidRDefault="00ED65C1" w:rsidP="007B22E0"/>
          <w:p w14:paraId="2B416E53" w14:textId="65056BE4" w:rsidR="006E7734" w:rsidRDefault="3175150A" w:rsidP="007B22E0">
            <w:r>
              <w:t>Improved analysis of financial flows and risks in non-bank</w:t>
            </w:r>
            <w:r w:rsidR="6C0A344D">
              <w:t xml:space="preserve"> financial </w:t>
            </w:r>
            <w:r>
              <w:t>sectors and products.</w:t>
            </w:r>
          </w:p>
        </w:tc>
      </w:tr>
      <w:tr w:rsidR="00861757" w14:paraId="281B0A44" w14:textId="77777777" w:rsidTr="4E991560">
        <w:tc>
          <w:tcPr>
            <w:tcW w:w="3116" w:type="dxa"/>
          </w:tcPr>
          <w:p w14:paraId="2A73F825" w14:textId="10ABC8A6" w:rsidR="00861757" w:rsidRDefault="3214F7A0" w:rsidP="006F2887">
            <w:r>
              <w:t>Valuation of debt securities at both market and nominal values</w:t>
            </w:r>
          </w:p>
        </w:tc>
        <w:tc>
          <w:tcPr>
            <w:tcW w:w="3117" w:type="dxa"/>
          </w:tcPr>
          <w:p w14:paraId="6998F28B" w14:textId="4D1504D5" w:rsidR="00861757" w:rsidRPr="00B8797A" w:rsidRDefault="25F219C6" w:rsidP="00B8797A">
            <w:r>
              <w:t xml:space="preserve">The </w:t>
            </w:r>
            <w:r w:rsidR="27F52BB0">
              <w:t xml:space="preserve">ABS currently values </w:t>
            </w:r>
            <w:r w:rsidR="6029C4E7">
              <w:t xml:space="preserve">debt securities at market value. This recommendation would result in a supplementary table of debt securities which are valued at nominal or face value. </w:t>
            </w:r>
          </w:p>
          <w:p w14:paraId="3E037C02" w14:textId="4EE3DC0B" w:rsidR="00861757" w:rsidRPr="00B8797A" w:rsidRDefault="00861757" w:rsidP="00B8797A"/>
        </w:tc>
        <w:tc>
          <w:tcPr>
            <w:tcW w:w="3117" w:type="dxa"/>
          </w:tcPr>
          <w:p w14:paraId="26B92707" w14:textId="7E8DA0E8" w:rsidR="00861757" w:rsidRDefault="30401A21" w:rsidP="006F2887">
            <w:r>
              <w:t xml:space="preserve">Provide more information to support financial stability of an economy by understanding </w:t>
            </w:r>
            <w:r w:rsidR="1993789C">
              <w:t xml:space="preserve">the differences between market and face value of debt securities. </w:t>
            </w:r>
          </w:p>
        </w:tc>
      </w:tr>
      <w:tr w:rsidR="00823892" w14:paraId="4ABD9C6C" w14:textId="77777777" w:rsidTr="4E991560">
        <w:tc>
          <w:tcPr>
            <w:tcW w:w="3116" w:type="dxa"/>
          </w:tcPr>
          <w:p w14:paraId="62376432" w14:textId="676DE4D2" w:rsidR="00823892" w:rsidRDefault="255B62FF" w:rsidP="006F2887">
            <w:r>
              <w:t xml:space="preserve">Crypto assets with corresponding </w:t>
            </w:r>
            <w:r w:rsidR="159610CD">
              <w:t xml:space="preserve">liability </w:t>
            </w:r>
          </w:p>
        </w:tc>
        <w:tc>
          <w:tcPr>
            <w:tcW w:w="3117" w:type="dxa"/>
          </w:tcPr>
          <w:p w14:paraId="10D64F8B" w14:textId="71D8B15B" w:rsidR="00823892" w:rsidRDefault="5FC16FE3" w:rsidP="006F2887">
            <w:r>
              <w:t xml:space="preserve">Crypto </w:t>
            </w:r>
            <w:r w:rsidR="612EC9AB">
              <w:t xml:space="preserve">assets with corresponding liability </w:t>
            </w:r>
            <w:r w:rsidR="1AD2F00D">
              <w:t>to be recorded under the relevant financial instrument depending on type e</w:t>
            </w:r>
            <w:r w:rsidR="63FB6DCE">
              <w:t>.</w:t>
            </w:r>
            <w:r w:rsidR="1AD2F00D">
              <w:t>g.</w:t>
            </w:r>
            <w:r w:rsidR="44C4F6F1">
              <w:t>,</w:t>
            </w:r>
            <w:r w:rsidR="1AD2F00D">
              <w:t xml:space="preserve"> </w:t>
            </w:r>
            <w:r w:rsidR="0AB49ABB">
              <w:t xml:space="preserve">Debt security crypto assets to be recorded under debt securities. </w:t>
            </w:r>
          </w:p>
          <w:p w14:paraId="020BBDFD" w14:textId="4CB24162" w:rsidR="00823892" w:rsidRDefault="00823892" w:rsidP="006F2887"/>
        </w:tc>
        <w:tc>
          <w:tcPr>
            <w:tcW w:w="3117" w:type="dxa"/>
          </w:tcPr>
          <w:p w14:paraId="17845500" w14:textId="049E8936" w:rsidR="00823892" w:rsidRDefault="111CE0EB" w:rsidP="006F2887">
            <w:r>
              <w:t>New insights on</w:t>
            </w:r>
            <w:r w:rsidR="57A112DF">
              <w:t xml:space="preserve"> digital assets</w:t>
            </w:r>
            <w:r w:rsidR="1A3FF167">
              <w:t>.</w:t>
            </w:r>
            <w:r w:rsidR="4975539A">
              <w:t xml:space="preserve"> Can provide information to support assessment of financial stability</w:t>
            </w:r>
            <w:r w:rsidR="1AEB088E">
              <w:t xml:space="preserve"> e</w:t>
            </w:r>
            <w:r w:rsidR="3AA96B99">
              <w:t>.</w:t>
            </w:r>
            <w:r w:rsidR="1AEB088E">
              <w:t>g.</w:t>
            </w:r>
            <w:r w:rsidR="310CD4E6">
              <w:t>,</w:t>
            </w:r>
            <w:r w:rsidR="1AEB088E">
              <w:t xml:space="preserve"> The extent to which crypto assets are used as payments and how this is changing over time. </w:t>
            </w:r>
          </w:p>
        </w:tc>
      </w:tr>
      <w:tr w:rsidR="00802656" w14:paraId="761737FF" w14:textId="77777777" w:rsidTr="4E991560">
        <w:tc>
          <w:tcPr>
            <w:tcW w:w="3116" w:type="dxa"/>
          </w:tcPr>
          <w:p w14:paraId="394CA464" w14:textId="3F70ECAF" w:rsidR="00802656" w:rsidRDefault="7DD79815" w:rsidP="00802656">
            <w:r>
              <w:t>Sustainable finance</w:t>
            </w:r>
          </w:p>
        </w:tc>
        <w:tc>
          <w:tcPr>
            <w:tcW w:w="3117" w:type="dxa"/>
          </w:tcPr>
          <w:p w14:paraId="6BEA663A" w14:textId="77777777" w:rsidR="00802656" w:rsidRPr="003231B7" w:rsidRDefault="7DD79815" w:rsidP="00802656">
            <w:r>
              <w:t xml:space="preserve">Supplementary table of measures and indicators relevant for climate </w:t>
            </w:r>
          </w:p>
          <w:p w14:paraId="4C4B53FD" w14:textId="72C44437" w:rsidR="00802656" w:rsidRDefault="7DD79815" w:rsidP="00802656">
            <w:r>
              <w:t>change-related financial risks. Initially the table would have estimates</w:t>
            </w:r>
            <w:r w:rsidR="7823FAD5">
              <w:t xml:space="preserve"> of</w:t>
            </w:r>
            <w:r>
              <w:t xml:space="preserve"> direct investment by physical location and sector</w:t>
            </w:r>
            <w:r w:rsidR="7823FAD5">
              <w:t xml:space="preserve">. The table would also show green financing </w:t>
            </w:r>
            <w:r w:rsidR="5BDA8041">
              <w:t>including of which items for “Green bonds”</w:t>
            </w:r>
            <w:r w:rsidR="264B4CA6">
              <w:t xml:space="preserve">. The supplementary table would be updated over time to add new indicators </w:t>
            </w:r>
          </w:p>
        </w:tc>
        <w:tc>
          <w:tcPr>
            <w:tcW w:w="3117" w:type="dxa"/>
          </w:tcPr>
          <w:p w14:paraId="00E1EB94" w14:textId="43BFEE65" w:rsidR="00802656" w:rsidRDefault="2FA60F3D" w:rsidP="00802656">
            <w:r>
              <w:t xml:space="preserve">Allow </w:t>
            </w:r>
            <w:r w:rsidR="63F219B6">
              <w:t xml:space="preserve">policy </w:t>
            </w:r>
            <w:r>
              <w:t xml:space="preserve">makers to assess </w:t>
            </w:r>
            <w:r w:rsidR="4617C6DD">
              <w:t xml:space="preserve">the financial risks </w:t>
            </w:r>
            <w:r w:rsidR="2059BC2D">
              <w:t xml:space="preserve">that </w:t>
            </w:r>
            <w:r w:rsidR="30AEFC96">
              <w:t xml:space="preserve">economies are exposed to as a result of climate change </w:t>
            </w:r>
            <w:proofErr w:type="spellStart"/>
            <w:proofErr w:type="gramStart"/>
            <w:r w:rsidR="30AEFC96">
              <w:t>e</w:t>
            </w:r>
            <w:r w:rsidR="046688DA">
              <w:t>,</w:t>
            </w:r>
            <w:r w:rsidR="30AEFC96">
              <w:t>g</w:t>
            </w:r>
            <w:proofErr w:type="spellEnd"/>
            <w:r w:rsidR="30AEFC96">
              <w:t>.</w:t>
            </w:r>
            <w:proofErr w:type="gramEnd"/>
            <w:r w:rsidR="690F462E">
              <w:t>,</w:t>
            </w:r>
            <w:r w:rsidR="7B97C5CA">
              <w:t xml:space="preserve"> Increases in Natural disas</w:t>
            </w:r>
            <w:r w:rsidR="6F08B920">
              <w:t xml:space="preserve">ters </w:t>
            </w:r>
            <w:r w:rsidR="7EF8AC72">
              <w:t>leading to more insurance claims</w:t>
            </w:r>
            <w:r w:rsidR="7D360969">
              <w:t xml:space="preserve">. </w:t>
            </w:r>
          </w:p>
        </w:tc>
      </w:tr>
    </w:tbl>
    <w:p w14:paraId="219C8C03" w14:textId="5B7E6D31" w:rsidR="4E991560" w:rsidRDefault="4E991560" w:rsidP="4E991560">
      <w:pPr>
        <w:pStyle w:val="NoSpacing"/>
      </w:pPr>
    </w:p>
    <w:p w14:paraId="46EAF86B" w14:textId="77777777" w:rsidR="00F2384B" w:rsidRDefault="00F2384B" w:rsidP="4E991560">
      <w:pPr>
        <w:pStyle w:val="NoSpacing"/>
      </w:pPr>
    </w:p>
    <w:p w14:paraId="429A341C" w14:textId="1CE5FC1E" w:rsidR="00196261" w:rsidRDefault="73A9D676" w:rsidP="00196261">
      <w:pPr>
        <w:pStyle w:val="Heading2"/>
      </w:pPr>
      <w:r>
        <w:lastRenderedPageBreak/>
        <w:t>Balance of payments and International Trade</w:t>
      </w:r>
    </w:p>
    <w:tbl>
      <w:tblPr>
        <w:tblStyle w:val="TableGrid"/>
        <w:tblW w:w="0" w:type="auto"/>
        <w:tblLook w:val="04A0" w:firstRow="1" w:lastRow="0" w:firstColumn="1" w:lastColumn="0" w:noHBand="0" w:noVBand="1"/>
      </w:tblPr>
      <w:tblGrid>
        <w:gridCol w:w="3116"/>
        <w:gridCol w:w="3117"/>
        <w:gridCol w:w="3117"/>
      </w:tblGrid>
      <w:tr w:rsidR="00196261" w:rsidRPr="00AD04EC" w14:paraId="36B7B50F" w14:textId="77777777" w:rsidTr="4E991560">
        <w:tc>
          <w:tcPr>
            <w:tcW w:w="3116" w:type="dxa"/>
          </w:tcPr>
          <w:p w14:paraId="30CDEA9E" w14:textId="77777777" w:rsidR="00196261" w:rsidRPr="00AD04EC" w:rsidRDefault="73A9D676" w:rsidP="006F2887">
            <w:pPr>
              <w:rPr>
                <w:b/>
                <w:bCs/>
              </w:rPr>
            </w:pPr>
            <w:r w:rsidRPr="3D1EE2B6">
              <w:rPr>
                <w:b/>
                <w:bCs/>
              </w:rPr>
              <w:t>Change/Recommendation</w:t>
            </w:r>
          </w:p>
        </w:tc>
        <w:tc>
          <w:tcPr>
            <w:tcW w:w="3117" w:type="dxa"/>
          </w:tcPr>
          <w:p w14:paraId="66AE7E12" w14:textId="77777777" w:rsidR="00196261" w:rsidRPr="00AD04EC" w:rsidRDefault="73A9D676" w:rsidP="006F2887">
            <w:pPr>
              <w:rPr>
                <w:b/>
                <w:bCs/>
              </w:rPr>
            </w:pPr>
            <w:r w:rsidRPr="3D1EE2B6">
              <w:rPr>
                <w:b/>
                <w:bCs/>
              </w:rPr>
              <w:t>New statistical output</w:t>
            </w:r>
          </w:p>
        </w:tc>
        <w:tc>
          <w:tcPr>
            <w:tcW w:w="3117" w:type="dxa"/>
          </w:tcPr>
          <w:p w14:paraId="4F276E1A" w14:textId="77777777" w:rsidR="00196261" w:rsidRPr="00AD04EC" w:rsidRDefault="73A9D676" w:rsidP="006F2887">
            <w:pPr>
              <w:rPr>
                <w:b/>
                <w:bCs/>
              </w:rPr>
            </w:pPr>
            <w:r w:rsidRPr="3D1EE2B6">
              <w:rPr>
                <w:b/>
                <w:bCs/>
              </w:rPr>
              <w:t>Benefits</w:t>
            </w:r>
          </w:p>
        </w:tc>
      </w:tr>
      <w:tr w:rsidR="00196261" w14:paraId="30BDCBEA" w14:textId="77777777" w:rsidTr="4E991560">
        <w:tc>
          <w:tcPr>
            <w:tcW w:w="3116" w:type="dxa"/>
          </w:tcPr>
          <w:p w14:paraId="108CF051" w14:textId="77777777" w:rsidR="001167F2" w:rsidRPr="001167F2" w:rsidRDefault="609E247D" w:rsidP="001167F2">
            <w:r>
              <w:t xml:space="preserve">Goods, Services, and Investment Income </w:t>
            </w:r>
          </w:p>
          <w:p w14:paraId="40A9E394" w14:textId="09EC1A76" w:rsidR="00196261" w:rsidRDefault="609E247D" w:rsidP="001167F2">
            <w:r>
              <w:t>Accounts by Enterprise Characteristics</w:t>
            </w:r>
          </w:p>
        </w:tc>
        <w:tc>
          <w:tcPr>
            <w:tcW w:w="3117" w:type="dxa"/>
          </w:tcPr>
          <w:p w14:paraId="3CD424E6" w14:textId="1BDF799A" w:rsidR="00196261" w:rsidRDefault="39D6C1DE" w:rsidP="006F2887">
            <w:r>
              <w:t xml:space="preserve">New supplementary table </w:t>
            </w:r>
            <w:r w:rsidR="71D70AD5">
              <w:t xml:space="preserve">based on the proposed template in Annex 1 of </w:t>
            </w:r>
            <w:hyperlink r:id="rId14">
              <w:r w:rsidR="1A8A3D35" w:rsidRPr="4E991560">
                <w:rPr>
                  <w:rStyle w:val="Hyperlink"/>
                </w:rPr>
                <w:t>GN C2 -goods-services-and-investment-income-accounts-by-enterprise-characteristics</w:t>
              </w:r>
            </w:hyperlink>
            <w:r w:rsidR="1A8A3D35">
              <w:t xml:space="preserve">. </w:t>
            </w:r>
            <w:r w:rsidR="79422A13">
              <w:t>Supplementary</w:t>
            </w:r>
            <w:r w:rsidR="1A8A3D35">
              <w:t xml:space="preserve"> table shows import</w:t>
            </w:r>
            <w:r w:rsidR="451ED2DC">
              <w:t xml:space="preserve">s, exports and income broken down by </w:t>
            </w:r>
            <w:r w:rsidR="68714911">
              <w:t xml:space="preserve">trading partner, product/service and industry. Table will also show breakdown by </w:t>
            </w:r>
            <w:r w:rsidR="2FB5D38C">
              <w:t>e</w:t>
            </w:r>
            <w:r w:rsidR="50366A32">
              <w:t>nterprise characteristics including si</w:t>
            </w:r>
            <w:r w:rsidR="2FB5D38C">
              <w:t>z</w:t>
            </w:r>
            <w:r w:rsidR="50366A32">
              <w:t>e, dome</w:t>
            </w:r>
            <w:r w:rsidR="2FB5D38C">
              <w:t>s</w:t>
            </w:r>
            <w:r w:rsidR="50366A32">
              <w:t>tic or foreign controlled, MNE and SME.</w:t>
            </w:r>
          </w:p>
          <w:p w14:paraId="47FD2830" w14:textId="6BCF8618" w:rsidR="00196261" w:rsidRDefault="00196261" w:rsidP="006F2887"/>
        </w:tc>
        <w:tc>
          <w:tcPr>
            <w:tcW w:w="3117" w:type="dxa"/>
          </w:tcPr>
          <w:p w14:paraId="55FB9CDE" w14:textId="11A094A2" w:rsidR="00196261" w:rsidRDefault="22BC1B64" w:rsidP="006F2887">
            <w:r>
              <w:t>Greater detail on the char</w:t>
            </w:r>
            <w:r w:rsidR="64F4CA66">
              <w:t xml:space="preserve">acteristics of importers and exports </w:t>
            </w:r>
            <w:r w:rsidR="14B7BA4C">
              <w:t xml:space="preserve">to enable policymakers to assess the effectiveness of Trade policies. </w:t>
            </w:r>
          </w:p>
        </w:tc>
      </w:tr>
      <w:tr w:rsidR="00196261" w14:paraId="0BCEE5D7" w14:textId="77777777" w:rsidTr="4E991560">
        <w:tc>
          <w:tcPr>
            <w:tcW w:w="3116" w:type="dxa"/>
          </w:tcPr>
          <w:p w14:paraId="7C448C9F" w14:textId="481BB489" w:rsidR="00196261" w:rsidRDefault="75B82635" w:rsidP="006F2887">
            <w:r>
              <w:t xml:space="preserve">International Trade </w:t>
            </w:r>
            <w:r w:rsidR="16C17894">
              <w:t>c</w:t>
            </w:r>
            <w:r>
              <w:t>lassified by Currency</w:t>
            </w:r>
          </w:p>
        </w:tc>
        <w:tc>
          <w:tcPr>
            <w:tcW w:w="3117" w:type="dxa"/>
          </w:tcPr>
          <w:p w14:paraId="72E63476" w14:textId="50D74F65" w:rsidR="00196261" w:rsidRDefault="63A553FA" w:rsidP="006F2887">
            <w:r>
              <w:t>New supplem</w:t>
            </w:r>
            <w:r w:rsidR="2BE45BA4">
              <w:t xml:space="preserve">entary table </w:t>
            </w:r>
            <w:r w:rsidR="2014A527">
              <w:t xml:space="preserve">showing trade in goods and services broken down by issuing currency. </w:t>
            </w:r>
            <w:r w:rsidR="349C8369">
              <w:t>The currency breakdown would include those which are denominated in domestic currency, SDR currency (e</w:t>
            </w:r>
            <w:r w:rsidR="584EF26F">
              <w:t>.</w:t>
            </w:r>
            <w:r w:rsidR="349C8369">
              <w:t>g.</w:t>
            </w:r>
            <w:r w:rsidR="59F1BB09">
              <w:t>,</w:t>
            </w:r>
            <w:r w:rsidR="349C8369">
              <w:t xml:space="preserve"> USD, Euro, Yen, Yuan), and other currencies which represent a significant </w:t>
            </w:r>
            <w:r w:rsidR="0D245FE4">
              <w:t xml:space="preserve">proportion of trade for </w:t>
            </w:r>
            <w:r w:rsidR="3B13C708">
              <w:t xml:space="preserve">the </w:t>
            </w:r>
            <w:r w:rsidR="0D245FE4">
              <w:t xml:space="preserve">respective economy. </w:t>
            </w:r>
          </w:p>
          <w:p w14:paraId="6CD3ADF0" w14:textId="104E8C89" w:rsidR="00196261" w:rsidRDefault="00196261" w:rsidP="006F2887"/>
        </w:tc>
        <w:tc>
          <w:tcPr>
            <w:tcW w:w="3117" w:type="dxa"/>
          </w:tcPr>
          <w:p w14:paraId="0FC4CBE6" w14:textId="5EC30EAD" w:rsidR="00196261" w:rsidRDefault="1084FFAF" w:rsidP="006F2887">
            <w:r>
              <w:t xml:space="preserve">Greater detail on </w:t>
            </w:r>
            <w:r w:rsidR="21359E9F">
              <w:t xml:space="preserve">the currency composition of international trade. </w:t>
            </w:r>
            <w:r w:rsidR="34602474">
              <w:t>Improves analysis of exchange rate</w:t>
            </w:r>
            <w:r w:rsidR="17BD1B80">
              <w:t xml:space="preserve"> fluctuations</w:t>
            </w:r>
            <w:r w:rsidR="34602474">
              <w:t xml:space="preserve"> on the domestic economy.</w:t>
            </w:r>
          </w:p>
        </w:tc>
      </w:tr>
      <w:tr w:rsidR="00196261" w14:paraId="139B5BCE" w14:textId="77777777" w:rsidTr="4E991560">
        <w:tc>
          <w:tcPr>
            <w:tcW w:w="3116" w:type="dxa"/>
          </w:tcPr>
          <w:p w14:paraId="678D772A" w14:textId="703A6AA8" w:rsidR="00196261" w:rsidRDefault="6E1A5BD3" w:rsidP="006F2887">
            <w:r>
              <w:t xml:space="preserve">Trade in services classification </w:t>
            </w:r>
          </w:p>
        </w:tc>
        <w:tc>
          <w:tcPr>
            <w:tcW w:w="3117" w:type="dxa"/>
          </w:tcPr>
          <w:p w14:paraId="698ADB0F" w14:textId="69283A97" w:rsidR="00196261" w:rsidRDefault="35C7E3A4" w:rsidP="003231B7">
            <w:r>
              <w:t xml:space="preserve">More detailed breakdown of trade in services </w:t>
            </w:r>
            <w:r w:rsidR="55657021">
              <w:t>following</w:t>
            </w:r>
            <w:r w:rsidR="7EEF5A58">
              <w:t xml:space="preserve"> </w:t>
            </w:r>
            <w:r w:rsidR="55657021">
              <w:t xml:space="preserve">changes to the Extended Balance of Payments Services (EBOPS) classification. These include </w:t>
            </w:r>
            <w:r w:rsidR="6F75652E">
              <w:t>new breakdowns for</w:t>
            </w:r>
            <w:r w:rsidR="51167685">
              <w:t xml:space="preserve"> recording of digital products including data, cloud computing and</w:t>
            </w:r>
            <w:r w:rsidR="4968FACD">
              <w:t xml:space="preserve"> Artificial Intelligence (</w:t>
            </w:r>
            <w:r w:rsidR="51167685">
              <w:t>AI</w:t>
            </w:r>
            <w:r w:rsidR="4968FACD">
              <w:t>)</w:t>
            </w:r>
            <w:r w:rsidR="51167685">
              <w:t xml:space="preserve">. Licenses to use </w:t>
            </w:r>
            <w:r w:rsidR="7EEF5A58">
              <w:t>S</w:t>
            </w:r>
            <w:r w:rsidR="6957427C">
              <w:t>oftware and Audio Visual will be disaggregated</w:t>
            </w:r>
            <w:r w:rsidR="0C891D28">
              <w:t xml:space="preserve"> to identify flows related intermediate consumption and capital formation. </w:t>
            </w:r>
          </w:p>
          <w:p w14:paraId="39217F6B" w14:textId="4B1E62F2" w:rsidR="00196261" w:rsidRDefault="00196261" w:rsidP="003231B7"/>
        </w:tc>
        <w:tc>
          <w:tcPr>
            <w:tcW w:w="3117" w:type="dxa"/>
          </w:tcPr>
          <w:p w14:paraId="5521FAB2" w14:textId="351E508F" w:rsidR="00196261" w:rsidRDefault="3FF2F637" w:rsidP="006F2887">
            <w:r>
              <w:t xml:space="preserve">Provide further insights on </w:t>
            </w:r>
            <w:r w:rsidR="3E0F31FA">
              <w:t xml:space="preserve">contemporary trade in services activity including </w:t>
            </w:r>
            <w:r w:rsidR="19A1A673">
              <w:t xml:space="preserve">digitalisation. </w:t>
            </w:r>
          </w:p>
        </w:tc>
      </w:tr>
    </w:tbl>
    <w:p w14:paraId="03CADC4F" w14:textId="77777777" w:rsidR="006E7734" w:rsidRPr="006E7734" w:rsidRDefault="006E7734" w:rsidP="006E7734"/>
    <w:sectPr w:rsidR="006E7734" w:rsidRPr="006E773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C277A"/>
    <w:multiLevelType w:val="hybridMultilevel"/>
    <w:tmpl w:val="5B9623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C03718"/>
    <w:multiLevelType w:val="hybridMultilevel"/>
    <w:tmpl w:val="8CDC54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AC3D66"/>
    <w:multiLevelType w:val="hybridMultilevel"/>
    <w:tmpl w:val="49526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2E37A1"/>
    <w:multiLevelType w:val="hybridMultilevel"/>
    <w:tmpl w:val="22547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DD4501"/>
    <w:multiLevelType w:val="hybridMultilevel"/>
    <w:tmpl w:val="93ACCC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65B09CE"/>
    <w:multiLevelType w:val="hybridMultilevel"/>
    <w:tmpl w:val="B900D1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97393646">
    <w:abstractNumId w:val="5"/>
  </w:num>
  <w:num w:numId="2" w16cid:durableId="196430743">
    <w:abstractNumId w:val="4"/>
  </w:num>
  <w:num w:numId="3" w16cid:durableId="280961149">
    <w:abstractNumId w:val="0"/>
  </w:num>
  <w:num w:numId="4" w16cid:durableId="570967171">
    <w:abstractNumId w:val="2"/>
  </w:num>
  <w:num w:numId="5" w16cid:durableId="2138914009">
    <w:abstractNumId w:val="3"/>
  </w:num>
  <w:num w:numId="6" w16cid:durableId="1816732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789"/>
    <w:rsid w:val="00012C89"/>
    <w:rsid w:val="000158F5"/>
    <w:rsid w:val="000164D6"/>
    <w:rsid w:val="000167C4"/>
    <w:rsid w:val="0002070D"/>
    <w:rsid w:val="0002164E"/>
    <w:rsid w:val="00030496"/>
    <w:rsid w:val="00036A17"/>
    <w:rsid w:val="0004068F"/>
    <w:rsid w:val="00042669"/>
    <w:rsid w:val="00045765"/>
    <w:rsid w:val="000458B1"/>
    <w:rsid w:val="00046733"/>
    <w:rsid w:val="00047F33"/>
    <w:rsid w:val="000517F7"/>
    <w:rsid w:val="000560C2"/>
    <w:rsid w:val="000601C7"/>
    <w:rsid w:val="000665A8"/>
    <w:rsid w:val="000737EA"/>
    <w:rsid w:val="000744A4"/>
    <w:rsid w:val="000850F0"/>
    <w:rsid w:val="000850FF"/>
    <w:rsid w:val="00092012"/>
    <w:rsid w:val="00092196"/>
    <w:rsid w:val="00093B34"/>
    <w:rsid w:val="00093F0F"/>
    <w:rsid w:val="00094696"/>
    <w:rsid w:val="00094C45"/>
    <w:rsid w:val="000A01CE"/>
    <w:rsid w:val="000A1221"/>
    <w:rsid w:val="000A701A"/>
    <w:rsid w:val="000A7370"/>
    <w:rsid w:val="000A73B5"/>
    <w:rsid w:val="000B09D0"/>
    <w:rsid w:val="000B6864"/>
    <w:rsid w:val="000C3F45"/>
    <w:rsid w:val="000C539D"/>
    <w:rsid w:val="000C7672"/>
    <w:rsid w:val="000D05A3"/>
    <w:rsid w:val="000D71B5"/>
    <w:rsid w:val="000E2E50"/>
    <w:rsid w:val="000E3FBA"/>
    <w:rsid w:val="000F0FFE"/>
    <w:rsid w:val="000F2386"/>
    <w:rsid w:val="000F2F65"/>
    <w:rsid w:val="000F63D3"/>
    <w:rsid w:val="00101CB5"/>
    <w:rsid w:val="001029FD"/>
    <w:rsid w:val="001030AB"/>
    <w:rsid w:val="0011371F"/>
    <w:rsid w:val="001167F2"/>
    <w:rsid w:val="001204F2"/>
    <w:rsid w:val="00121997"/>
    <w:rsid w:val="00123BC3"/>
    <w:rsid w:val="00127E0F"/>
    <w:rsid w:val="0013BA6F"/>
    <w:rsid w:val="00141D8B"/>
    <w:rsid w:val="001471F2"/>
    <w:rsid w:val="00153867"/>
    <w:rsid w:val="00153B9D"/>
    <w:rsid w:val="00157501"/>
    <w:rsid w:val="00157CB5"/>
    <w:rsid w:val="001652D5"/>
    <w:rsid w:val="00171510"/>
    <w:rsid w:val="00172574"/>
    <w:rsid w:val="00185E5B"/>
    <w:rsid w:val="00186FCF"/>
    <w:rsid w:val="00193746"/>
    <w:rsid w:val="00196261"/>
    <w:rsid w:val="001A32E3"/>
    <w:rsid w:val="001A43B9"/>
    <w:rsid w:val="001A49B2"/>
    <w:rsid w:val="001A7CC7"/>
    <w:rsid w:val="001B0218"/>
    <w:rsid w:val="001B0FC9"/>
    <w:rsid w:val="001B2BF4"/>
    <w:rsid w:val="001B7E06"/>
    <w:rsid w:val="001C09F9"/>
    <w:rsid w:val="001C20CB"/>
    <w:rsid w:val="001C34D3"/>
    <w:rsid w:val="001C4506"/>
    <w:rsid w:val="001C61E9"/>
    <w:rsid w:val="001D1D41"/>
    <w:rsid w:val="001E3E71"/>
    <w:rsid w:val="001E7649"/>
    <w:rsid w:val="001F39E3"/>
    <w:rsid w:val="001F6EFD"/>
    <w:rsid w:val="00200EAD"/>
    <w:rsid w:val="00203FA7"/>
    <w:rsid w:val="002047B4"/>
    <w:rsid w:val="00204B82"/>
    <w:rsid w:val="00206423"/>
    <w:rsid w:val="0020687A"/>
    <w:rsid w:val="0020B4A4"/>
    <w:rsid w:val="00214D78"/>
    <w:rsid w:val="00220996"/>
    <w:rsid w:val="00220A84"/>
    <w:rsid w:val="0022568B"/>
    <w:rsid w:val="00230D7A"/>
    <w:rsid w:val="0023118D"/>
    <w:rsid w:val="0023572D"/>
    <w:rsid w:val="002374BE"/>
    <w:rsid w:val="0024014B"/>
    <w:rsid w:val="00240CCB"/>
    <w:rsid w:val="00241D86"/>
    <w:rsid w:val="00242FA3"/>
    <w:rsid w:val="00245FE6"/>
    <w:rsid w:val="002532EF"/>
    <w:rsid w:val="00255F6A"/>
    <w:rsid w:val="00257285"/>
    <w:rsid w:val="00262691"/>
    <w:rsid w:val="00264238"/>
    <w:rsid w:val="00264739"/>
    <w:rsid w:val="00264766"/>
    <w:rsid w:val="002713BF"/>
    <w:rsid w:val="002726D6"/>
    <w:rsid w:val="00274BF9"/>
    <w:rsid w:val="0027619F"/>
    <w:rsid w:val="002769ED"/>
    <w:rsid w:val="00282097"/>
    <w:rsid w:val="00282A60"/>
    <w:rsid w:val="00283EBA"/>
    <w:rsid w:val="002843E6"/>
    <w:rsid w:val="00290778"/>
    <w:rsid w:val="0029581E"/>
    <w:rsid w:val="002A4FFF"/>
    <w:rsid w:val="002B2147"/>
    <w:rsid w:val="002B27B1"/>
    <w:rsid w:val="002B7D47"/>
    <w:rsid w:val="002C198F"/>
    <w:rsid w:val="002C22C5"/>
    <w:rsid w:val="002D3010"/>
    <w:rsid w:val="002D31F1"/>
    <w:rsid w:val="002D4D1F"/>
    <w:rsid w:val="002D71D3"/>
    <w:rsid w:val="002E08DC"/>
    <w:rsid w:val="002E184A"/>
    <w:rsid w:val="002E2DFB"/>
    <w:rsid w:val="002E67E0"/>
    <w:rsid w:val="002E702F"/>
    <w:rsid w:val="002F48FD"/>
    <w:rsid w:val="002F7E63"/>
    <w:rsid w:val="003008FB"/>
    <w:rsid w:val="0030431D"/>
    <w:rsid w:val="00304F17"/>
    <w:rsid w:val="00306CC7"/>
    <w:rsid w:val="003112AF"/>
    <w:rsid w:val="00313F62"/>
    <w:rsid w:val="00316F20"/>
    <w:rsid w:val="003231B7"/>
    <w:rsid w:val="00323D35"/>
    <w:rsid w:val="00324CAF"/>
    <w:rsid w:val="00330112"/>
    <w:rsid w:val="003353AB"/>
    <w:rsid w:val="003370DB"/>
    <w:rsid w:val="003376FE"/>
    <w:rsid w:val="00346DB8"/>
    <w:rsid w:val="003530A0"/>
    <w:rsid w:val="003553DB"/>
    <w:rsid w:val="003564B2"/>
    <w:rsid w:val="00357DCD"/>
    <w:rsid w:val="003632D7"/>
    <w:rsid w:val="003635A6"/>
    <w:rsid w:val="00364E24"/>
    <w:rsid w:val="00370C01"/>
    <w:rsid w:val="00370CC9"/>
    <w:rsid w:val="00372553"/>
    <w:rsid w:val="00372A65"/>
    <w:rsid w:val="0037645D"/>
    <w:rsid w:val="00376D05"/>
    <w:rsid w:val="003770B4"/>
    <w:rsid w:val="00382DC1"/>
    <w:rsid w:val="00383400"/>
    <w:rsid w:val="00384072"/>
    <w:rsid w:val="003913C4"/>
    <w:rsid w:val="0039345D"/>
    <w:rsid w:val="00393BDB"/>
    <w:rsid w:val="00395B72"/>
    <w:rsid w:val="00395EE7"/>
    <w:rsid w:val="003A1054"/>
    <w:rsid w:val="003A145F"/>
    <w:rsid w:val="003A5378"/>
    <w:rsid w:val="003A7131"/>
    <w:rsid w:val="003B2F30"/>
    <w:rsid w:val="003B6914"/>
    <w:rsid w:val="003C0EA3"/>
    <w:rsid w:val="003C3EAA"/>
    <w:rsid w:val="003C7561"/>
    <w:rsid w:val="003C7C22"/>
    <w:rsid w:val="003C7FD6"/>
    <w:rsid w:val="003D10F6"/>
    <w:rsid w:val="003D4099"/>
    <w:rsid w:val="003D605B"/>
    <w:rsid w:val="003E24D6"/>
    <w:rsid w:val="003E5C12"/>
    <w:rsid w:val="00400F67"/>
    <w:rsid w:val="004012BE"/>
    <w:rsid w:val="004022CF"/>
    <w:rsid w:val="00402DF5"/>
    <w:rsid w:val="00406421"/>
    <w:rsid w:val="004149FA"/>
    <w:rsid w:val="0041AC3C"/>
    <w:rsid w:val="00423C46"/>
    <w:rsid w:val="00426932"/>
    <w:rsid w:val="00434014"/>
    <w:rsid w:val="00434E64"/>
    <w:rsid w:val="004352DE"/>
    <w:rsid w:val="00441A12"/>
    <w:rsid w:val="0044468F"/>
    <w:rsid w:val="00445E96"/>
    <w:rsid w:val="004477D2"/>
    <w:rsid w:val="004527F8"/>
    <w:rsid w:val="00452C5F"/>
    <w:rsid w:val="00454580"/>
    <w:rsid w:val="00464908"/>
    <w:rsid w:val="00465B8E"/>
    <w:rsid w:val="004671A5"/>
    <w:rsid w:val="004677C6"/>
    <w:rsid w:val="004678CE"/>
    <w:rsid w:val="004700CA"/>
    <w:rsid w:val="00474567"/>
    <w:rsid w:val="00476AA2"/>
    <w:rsid w:val="00480A4F"/>
    <w:rsid w:val="00484026"/>
    <w:rsid w:val="004856F3"/>
    <w:rsid w:val="00485907"/>
    <w:rsid w:val="00487481"/>
    <w:rsid w:val="00492BF3"/>
    <w:rsid w:val="00497F07"/>
    <w:rsid w:val="004A11CA"/>
    <w:rsid w:val="004A5559"/>
    <w:rsid w:val="004A5770"/>
    <w:rsid w:val="004B3B7E"/>
    <w:rsid w:val="004B5663"/>
    <w:rsid w:val="004B780A"/>
    <w:rsid w:val="004B787B"/>
    <w:rsid w:val="004C0D38"/>
    <w:rsid w:val="004C488B"/>
    <w:rsid w:val="004C68E7"/>
    <w:rsid w:val="004D52D7"/>
    <w:rsid w:val="004D564D"/>
    <w:rsid w:val="004E2371"/>
    <w:rsid w:val="004E3CFC"/>
    <w:rsid w:val="004F4367"/>
    <w:rsid w:val="004F5244"/>
    <w:rsid w:val="004F60F4"/>
    <w:rsid w:val="0050142F"/>
    <w:rsid w:val="00502310"/>
    <w:rsid w:val="00505649"/>
    <w:rsid w:val="00506F22"/>
    <w:rsid w:val="00507189"/>
    <w:rsid w:val="00511224"/>
    <w:rsid w:val="00514BEF"/>
    <w:rsid w:val="00517DB0"/>
    <w:rsid w:val="00523C35"/>
    <w:rsid w:val="00530D1E"/>
    <w:rsid w:val="00533CE6"/>
    <w:rsid w:val="0053637D"/>
    <w:rsid w:val="00540060"/>
    <w:rsid w:val="00546A8A"/>
    <w:rsid w:val="00550B28"/>
    <w:rsid w:val="00551B54"/>
    <w:rsid w:val="00552103"/>
    <w:rsid w:val="0055255F"/>
    <w:rsid w:val="005525C4"/>
    <w:rsid w:val="005542D3"/>
    <w:rsid w:val="00554E37"/>
    <w:rsid w:val="00564707"/>
    <w:rsid w:val="005659DE"/>
    <w:rsid w:val="00576553"/>
    <w:rsid w:val="00576DFD"/>
    <w:rsid w:val="00580E79"/>
    <w:rsid w:val="005867D8"/>
    <w:rsid w:val="00592E49"/>
    <w:rsid w:val="00593DA0"/>
    <w:rsid w:val="00597893"/>
    <w:rsid w:val="005A323A"/>
    <w:rsid w:val="005A38AF"/>
    <w:rsid w:val="005A4A26"/>
    <w:rsid w:val="005A533A"/>
    <w:rsid w:val="005C0758"/>
    <w:rsid w:val="005C0979"/>
    <w:rsid w:val="005C17E5"/>
    <w:rsid w:val="005C445B"/>
    <w:rsid w:val="005C5E3B"/>
    <w:rsid w:val="005C6931"/>
    <w:rsid w:val="005C7789"/>
    <w:rsid w:val="005D537F"/>
    <w:rsid w:val="005E1344"/>
    <w:rsid w:val="005E171D"/>
    <w:rsid w:val="005F06A5"/>
    <w:rsid w:val="005F1C3A"/>
    <w:rsid w:val="005F476C"/>
    <w:rsid w:val="005F5DF5"/>
    <w:rsid w:val="005F66DE"/>
    <w:rsid w:val="006004C5"/>
    <w:rsid w:val="006007D1"/>
    <w:rsid w:val="00614FBC"/>
    <w:rsid w:val="00616065"/>
    <w:rsid w:val="00622191"/>
    <w:rsid w:val="00631452"/>
    <w:rsid w:val="00631773"/>
    <w:rsid w:val="00641C61"/>
    <w:rsid w:val="0064235A"/>
    <w:rsid w:val="006461E9"/>
    <w:rsid w:val="00646C2C"/>
    <w:rsid w:val="00647FBA"/>
    <w:rsid w:val="00650576"/>
    <w:rsid w:val="00650F40"/>
    <w:rsid w:val="006541EF"/>
    <w:rsid w:val="00655282"/>
    <w:rsid w:val="00660CC8"/>
    <w:rsid w:val="00663B2B"/>
    <w:rsid w:val="00663FDF"/>
    <w:rsid w:val="006676FE"/>
    <w:rsid w:val="00667DF9"/>
    <w:rsid w:val="00671BBA"/>
    <w:rsid w:val="00674B0B"/>
    <w:rsid w:val="00676FEC"/>
    <w:rsid w:val="006844A9"/>
    <w:rsid w:val="00684D5F"/>
    <w:rsid w:val="00693576"/>
    <w:rsid w:val="006941B2"/>
    <w:rsid w:val="006947E5"/>
    <w:rsid w:val="006966AF"/>
    <w:rsid w:val="00697FFB"/>
    <w:rsid w:val="006A02BA"/>
    <w:rsid w:val="006A1AC1"/>
    <w:rsid w:val="006A49C8"/>
    <w:rsid w:val="006A7DD1"/>
    <w:rsid w:val="006B1ADB"/>
    <w:rsid w:val="006B455D"/>
    <w:rsid w:val="006B4EC6"/>
    <w:rsid w:val="006B5431"/>
    <w:rsid w:val="006D2093"/>
    <w:rsid w:val="006D2447"/>
    <w:rsid w:val="006D7255"/>
    <w:rsid w:val="006E17ED"/>
    <w:rsid w:val="006E1CCC"/>
    <w:rsid w:val="006E2CDA"/>
    <w:rsid w:val="006E4CF4"/>
    <w:rsid w:val="006E7734"/>
    <w:rsid w:val="006F1AA4"/>
    <w:rsid w:val="006F1B78"/>
    <w:rsid w:val="006F2887"/>
    <w:rsid w:val="00705684"/>
    <w:rsid w:val="0071357D"/>
    <w:rsid w:val="00715262"/>
    <w:rsid w:val="00715AA5"/>
    <w:rsid w:val="007200E3"/>
    <w:rsid w:val="00720D10"/>
    <w:rsid w:val="00721E2B"/>
    <w:rsid w:val="0073058D"/>
    <w:rsid w:val="007318A9"/>
    <w:rsid w:val="00732BCE"/>
    <w:rsid w:val="007338D0"/>
    <w:rsid w:val="00734007"/>
    <w:rsid w:val="00737ABE"/>
    <w:rsid w:val="00737E85"/>
    <w:rsid w:val="00742F32"/>
    <w:rsid w:val="00743235"/>
    <w:rsid w:val="0074695E"/>
    <w:rsid w:val="00746D47"/>
    <w:rsid w:val="007605F8"/>
    <w:rsid w:val="0076238D"/>
    <w:rsid w:val="00764A59"/>
    <w:rsid w:val="007707F5"/>
    <w:rsid w:val="00770806"/>
    <w:rsid w:val="00771822"/>
    <w:rsid w:val="0077347E"/>
    <w:rsid w:val="00773A45"/>
    <w:rsid w:val="00775FF1"/>
    <w:rsid w:val="00777D2B"/>
    <w:rsid w:val="0078053F"/>
    <w:rsid w:val="007850D4"/>
    <w:rsid w:val="007927F9"/>
    <w:rsid w:val="007928DB"/>
    <w:rsid w:val="007941E0"/>
    <w:rsid w:val="0079420B"/>
    <w:rsid w:val="00796207"/>
    <w:rsid w:val="007963F5"/>
    <w:rsid w:val="007A1ADF"/>
    <w:rsid w:val="007B0E09"/>
    <w:rsid w:val="007B22E0"/>
    <w:rsid w:val="007C1F30"/>
    <w:rsid w:val="007C32A4"/>
    <w:rsid w:val="007C57F7"/>
    <w:rsid w:val="007C5DEB"/>
    <w:rsid w:val="007C77AA"/>
    <w:rsid w:val="007D4324"/>
    <w:rsid w:val="007D46CD"/>
    <w:rsid w:val="007E13EC"/>
    <w:rsid w:val="007E386C"/>
    <w:rsid w:val="007F481F"/>
    <w:rsid w:val="007F7134"/>
    <w:rsid w:val="00800594"/>
    <w:rsid w:val="00802656"/>
    <w:rsid w:val="00804825"/>
    <w:rsid w:val="00806DA6"/>
    <w:rsid w:val="0081053C"/>
    <w:rsid w:val="00815041"/>
    <w:rsid w:val="00815B78"/>
    <w:rsid w:val="00823892"/>
    <w:rsid w:val="0082423D"/>
    <w:rsid w:val="00834A37"/>
    <w:rsid w:val="00834F55"/>
    <w:rsid w:val="008365D0"/>
    <w:rsid w:val="008365F7"/>
    <w:rsid w:val="00845C7F"/>
    <w:rsid w:val="00845CDE"/>
    <w:rsid w:val="008465EF"/>
    <w:rsid w:val="0085065D"/>
    <w:rsid w:val="00855706"/>
    <w:rsid w:val="00861757"/>
    <w:rsid w:val="0087243F"/>
    <w:rsid w:val="00875B59"/>
    <w:rsid w:val="00876904"/>
    <w:rsid w:val="00876A25"/>
    <w:rsid w:val="00880AE9"/>
    <w:rsid w:val="00887CC4"/>
    <w:rsid w:val="008979B2"/>
    <w:rsid w:val="008A3E3F"/>
    <w:rsid w:val="008A3F31"/>
    <w:rsid w:val="008A6C90"/>
    <w:rsid w:val="008A6E5A"/>
    <w:rsid w:val="008A78B2"/>
    <w:rsid w:val="008B3876"/>
    <w:rsid w:val="008B6764"/>
    <w:rsid w:val="008B6B91"/>
    <w:rsid w:val="008B7CB4"/>
    <w:rsid w:val="008C6C36"/>
    <w:rsid w:val="008C79D7"/>
    <w:rsid w:val="008E2EA5"/>
    <w:rsid w:val="008F29B2"/>
    <w:rsid w:val="008F4E9C"/>
    <w:rsid w:val="00900F44"/>
    <w:rsid w:val="00901B1C"/>
    <w:rsid w:val="00906E69"/>
    <w:rsid w:val="00910D44"/>
    <w:rsid w:val="00912F00"/>
    <w:rsid w:val="0091693A"/>
    <w:rsid w:val="00926AC7"/>
    <w:rsid w:val="009337B9"/>
    <w:rsid w:val="00934D39"/>
    <w:rsid w:val="009376A8"/>
    <w:rsid w:val="009469DE"/>
    <w:rsid w:val="009509CA"/>
    <w:rsid w:val="00953B8D"/>
    <w:rsid w:val="009544FF"/>
    <w:rsid w:val="00954E27"/>
    <w:rsid w:val="00957C5E"/>
    <w:rsid w:val="00957D5A"/>
    <w:rsid w:val="009650AC"/>
    <w:rsid w:val="00966AA0"/>
    <w:rsid w:val="00966CF1"/>
    <w:rsid w:val="009738EA"/>
    <w:rsid w:val="00983CB6"/>
    <w:rsid w:val="00984DA8"/>
    <w:rsid w:val="00986E34"/>
    <w:rsid w:val="009905CA"/>
    <w:rsid w:val="0099453C"/>
    <w:rsid w:val="009978A3"/>
    <w:rsid w:val="00997B51"/>
    <w:rsid w:val="009A12F4"/>
    <w:rsid w:val="009A692A"/>
    <w:rsid w:val="009A78A9"/>
    <w:rsid w:val="009B0C34"/>
    <w:rsid w:val="009B4E42"/>
    <w:rsid w:val="009C29AC"/>
    <w:rsid w:val="009C7BEE"/>
    <w:rsid w:val="009E2B69"/>
    <w:rsid w:val="009E36B8"/>
    <w:rsid w:val="009E6A1C"/>
    <w:rsid w:val="009F08EF"/>
    <w:rsid w:val="009F29BC"/>
    <w:rsid w:val="009F32B6"/>
    <w:rsid w:val="00A00B69"/>
    <w:rsid w:val="00A033BF"/>
    <w:rsid w:val="00A07DBE"/>
    <w:rsid w:val="00A1127A"/>
    <w:rsid w:val="00A1183B"/>
    <w:rsid w:val="00A21185"/>
    <w:rsid w:val="00A22977"/>
    <w:rsid w:val="00A24661"/>
    <w:rsid w:val="00A25E18"/>
    <w:rsid w:val="00A26535"/>
    <w:rsid w:val="00A27D41"/>
    <w:rsid w:val="00A32E3E"/>
    <w:rsid w:val="00A36C6F"/>
    <w:rsid w:val="00A42807"/>
    <w:rsid w:val="00A51AF7"/>
    <w:rsid w:val="00A52A5C"/>
    <w:rsid w:val="00A5361B"/>
    <w:rsid w:val="00A65888"/>
    <w:rsid w:val="00A66D79"/>
    <w:rsid w:val="00A7085E"/>
    <w:rsid w:val="00A7676B"/>
    <w:rsid w:val="00A80229"/>
    <w:rsid w:val="00A925F8"/>
    <w:rsid w:val="00AA1962"/>
    <w:rsid w:val="00AA1EDB"/>
    <w:rsid w:val="00AA3D05"/>
    <w:rsid w:val="00AA6985"/>
    <w:rsid w:val="00AA760D"/>
    <w:rsid w:val="00AB02F8"/>
    <w:rsid w:val="00AB2A5E"/>
    <w:rsid w:val="00AB511A"/>
    <w:rsid w:val="00AB7185"/>
    <w:rsid w:val="00AC416D"/>
    <w:rsid w:val="00AD04EC"/>
    <w:rsid w:val="00AD6EF8"/>
    <w:rsid w:val="00AE3699"/>
    <w:rsid w:val="00AE4588"/>
    <w:rsid w:val="00AF4269"/>
    <w:rsid w:val="00AF5A16"/>
    <w:rsid w:val="00AF5EF6"/>
    <w:rsid w:val="00B01EE3"/>
    <w:rsid w:val="00B04B72"/>
    <w:rsid w:val="00B07870"/>
    <w:rsid w:val="00B11BFC"/>
    <w:rsid w:val="00B124EB"/>
    <w:rsid w:val="00B12F17"/>
    <w:rsid w:val="00B15013"/>
    <w:rsid w:val="00B169DF"/>
    <w:rsid w:val="00B24FEE"/>
    <w:rsid w:val="00B27F8A"/>
    <w:rsid w:val="00B30A35"/>
    <w:rsid w:val="00B336D6"/>
    <w:rsid w:val="00B3530C"/>
    <w:rsid w:val="00B3672A"/>
    <w:rsid w:val="00B40317"/>
    <w:rsid w:val="00B462DF"/>
    <w:rsid w:val="00B57CA8"/>
    <w:rsid w:val="00B64ECE"/>
    <w:rsid w:val="00B66BFB"/>
    <w:rsid w:val="00B67492"/>
    <w:rsid w:val="00B71439"/>
    <w:rsid w:val="00B73B7D"/>
    <w:rsid w:val="00B7538D"/>
    <w:rsid w:val="00B83864"/>
    <w:rsid w:val="00B839DA"/>
    <w:rsid w:val="00B84726"/>
    <w:rsid w:val="00B84B3F"/>
    <w:rsid w:val="00B8797A"/>
    <w:rsid w:val="00B9138C"/>
    <w:rsid w:val="00B94410"/>
    <w:rsid w:val="00B94C14"/>
    <w:rsid w:val="00B96074"/>
    <w:rsid w:val="00B97111"/>
    <w:rsid w:val="00B97BD8"/>
    <w:rsid w:val="00BA01C1"/>
    <w:rsid w:val="00BA1B4F"/>
    <w:rsid w:val="00BA203A"/>
    <w:rsid w:val="00BA4AD8"/>
    <w:rsid w:val="00BA5C65"/>
    <w:rsid w:val="00BB432C"/>
    <w:rsid w:val="00BB47A6"/>
    <w:rsid w:val="00BC16A8"/>
    <w:rsid w:val="00BC3D98"/>
    <w:rsid w:val="00BC4637"/>
    <w:rsid w:val="00BC5D25"/>
    <w:rsid w:val="00BC721A"/>
    <w:rsid w:val="00BC7751"/>
    <w:rsid w:val="00BD46C9"/>
    <w:rsid w:val="00BD6F08"/>
    <w:rsid w:val="00BD7C8E"/>
    <w:rsid w:val="00BE1ABB"/>
    <w:rsid w:val="00BE3E53"/>
    <w:rsid w:val="00BE4E7C"/>
    <w:rsid w:val="00BE6702"/>
    <w:rsid w:val="00BE747B"/>
    <w:rsid w:val="00BE761D"/>
    <w:rsid w:val="00BF2C5C"/>
    <w:rsid w:val="00C0687C"/>
    <w:rsid w:val="00C1054D"/>
    <w:rsid w:val="00C1742B"/>
    <w:rsid w:val="00C175BA"/>
    <w:rsid w:val="00C203F7"/>
    <w:rsid w:val="00C2048D"/>
    <w:rsid w:val="00C21680"/>
    <w:rsid w:val="00C25D6A"/>
    <w:rsid w:val="00C25F3F"/>
    <w:rsid w:val="00C2797E"/>
    <w:rsid w:val="00C304F8"/>
    <w:rsid w:val="00C32EEB"/>
    <w:rsid w:val="00C35BBA"/>
    <w:rsid w:val="00C3759F"/>
    <w:rsid w:val="00C50014"/>
    <w:rsid w:val="00C51023"/>
    <w:rsid w:val="00C62096"/>
    <w:rsid w:val="00C631CC"/>
    <w:rsid w:val="00C638AB"/>
    <w:rsid w:val="00C721A0"/>
    <w:rsid w:val="00C72FD8"/>
    <w:rsid w:val="00C80C5D"/>
    <w:rsid w:val="00C83C19"/>
    <w:rsid w:val="00C8500A"/>
    <w:rsid w:val="00C861A0"/>
    <w:rsid w:val="00C9415B"/>
    <w:rsid w:val="00C948C7"/>
    <w:rsid w:val="00C950D7"/>
    <w:rsid w:val="00C97003"/>
    <w:rsid w:val="00C97AEE"/>
    <w:rsid w:val="00CA122F"/>
    <w:rsid w:val="00CA3DF2"/>
    <w:rsid w:val="00CA46B9"/>
    <w:rsid w:val="00CA50DD"/>
    <w:rsid w:val="00CB268D"/>
    <w:rsid w:val="00CB2950"/>
    <w:rsid w:val="00CB4485"/>
    <w:rsid w:val="00CB5009"/>
    <w:rsid w:val="00CB51C3"/>
    <w:rsid w:val="00CB57B8"/>
    <w:rsid w:val="00CC0EEC"/>
    <w:rsid w:val="00CC1063"/>
    <w:rsid w:val="00CC4965"/>
    <w:rsid w:val="00CC6732"/>
    <w:rsid w:val="00CC6743"/>
    <w:rsid w:val="00CD0228"/>
    <w:rsid w:val="00CD0B12"/>
    <w:rsid w:val="00CD0D0E"/>
    <w:rsid w:val="00CD36D8"/>
    <w:rsid w:val="00CD657E"/>
    <w:rsid w:val="00CE421A"/>
    <w:rsid w:val="00CE6BB4"/>
    <w:rsid w:val="00CE762F"/>
    <w:rsid w:val="00CE77DD"/>
    <w:rsid w:val="00CF122A"/>
    <w:rsid w:val="00D01284"/>
    <w:rsid w:val="00D02276"/>
    <w:rsid w:val="00D055DF"/>
    <w:rsid w:val="00D0626A"/>
    <w:rsid w:val="00D10091"/>
    <w:rsid w:val="00D14AAA"/>
    <w:rsid w:val="00D16CC9"/>
    <w:rsid w:val="00D205EC"/>
    <w:rsid w:val="00D216D0"/>
    <w:rsid w:val="00D250F3"/>
    <w:rsid w:val="00D26E93"/>
    <w:rsid w:val="00D27E3E"/>
    <w:rsid w:val="00D30D96"/>
    <w:rsid w:val="00D33FC2"/>
    <w:rsid w:val="00D41E59"/>
    <w:rsid w:val="00D533A9"/>
    <w:rsid w:val="00D5665A"/>
    <w:rsid w:val="00D65821"/>
    <w:rsid w:val="00D65E5A"/>
    <w:rsid w:val="00D710D5"/>
    <w:rsid w:val="00D81A3F"/>
    <w:rsid w:val="00D86B72"/>
    <w:rsid w:val="00D934DD"/>
    <w:rsid w:val="00D95914"/>
    <w:rsid w:val="00D970B7"/>
    <w:rsid w:val="00D9BFE1"/>
    <w:rsid w:val="00DA4074"/>
    <w:rsid w:val="00DA4208"/>
    <w:rsid w:val="00DA7BDE"/>
    <w:rsid w:val="00DB03E9"/>
    <w:rsid w:val="00DB04FA"/>
    <w:rsid w:val="00DB2784"/>
    <w:rsid w:val="00DB27D7"/>
    <w:rsid w:val="00DB2E72"/>
    <w:rsid w:val="00DB495D"/>
    <w:rsid w:val="00DB5013"/>
    <w:rsid w:val="00DB7588"/>
    <w:rsid w:val="00DD0135"/>
    <w:rsid w:val="00DD1D0B"/>
    <w:rsid w:val="00DD50BF"/>
    <w:rsid w:val="00DD5E09"/>
    <w:rsid w:val="00DE2F14"/>
    <w:rsid w:val="00DF20A6"/>
    <w:rsid w:val="00DF281B"/>
    <w:rsid w:val="00DF654C"/>
    <w:rsid w:val="00E06105"/>
    <w:rsid w:val="00E10577"/>
    <w:rsid w:val="00E2145A"/>
    <w:rsid w:val="00E24AAF"/>
    <w:rsid w:val="00E26086"/>
    <w:rsid w:val="00E27CF4"/>
    <w:rsid w:val="00E30330"/>
    <w:rsid w:val="00E322EE"/>
    <w:rsid w:val="00E33625"/>
    <w:rsid w:val="00E37DA6"/>
    <w:rsid w:val="00E41A85"/>
    <w:rsid w:val="00E44B61"/>
    <w:rsid w:val="00E5014D"/>
    <w:rsid w:val="00E51127"/>
    <w:rsid w:val="00E521D3"/>
    <w:rsid w:val="00E575E7"/>
    <w:rsid w:val="00E57D70"/>
    <w:rsid w:val="00E60249"/>
    <w:rsid w:val="00E6128C"/>
    <w:rsid w:val="00E61DB0"/>
    <w:rsid w:val="00E626DD"/>
    <w:rsid w:val="00E62C1F"/>
    <w:rsid w:val="00E64576"/>
    <w:rsid w:val="00E66677"/>
    <w:rsid w:val="00E70B16"/>
    <w:rsid w:val="00E72198"/>
    <w:rsid w:val="00E74703"/>
    <w:rsid w:val="00E76B4E"/>
    <w:rsid w:val="00E811C8"/>
    <w:rsid w:val="00E8520D"/>
    <w:rsid w:val="00E8540D"/>
    <w:rsid w:val="00E86231"/>
    <w:rsid w:val="00E91028"/>
    <w:rsid w:val="00E91ADB"/>
    <w:rsid w:val="00E93704"/>
    <w:rsid w:val="00E97F22"/>
    <w:rsid w:val="00EA1819"/>
    <w:rsid w:val="00EB1947"/>
    <w:rsid w:val="00EB396D"/>
    <w:rsid w:val="00EB56DE"/>
    <w:rsid w:val="00EC2DD3"/>
    <w:rsid w:val="00EC3EF4"/>
    <w:rsid w:val="00EC4C1D"/>
    <w:rsid w:val="00EC5FAD"/>
    <w:rsid w:val="00ED1CAA"/>
    <w:rsid w:val="00ED51BB"/>
    <w:rsid w:val="00ED5E95"/>
    <w:rsid w:val="00ED65C1"/>
    <w:rsid w:val="00EE1112"/>
    <w:rsid w:val="00EE3F22"/>
    <w:rsid w:val="00EE4581"/>
    <w:rsid w:val="00EE6B01"/>
    <w:rsid w:val="00EE7E20"/>
    <w:rsid w:val="00EF66EB"/>
    <w:rsid w:val="00EF73EE"/>
    <w:rsid w:val="00F00025"/>
    <w:rsid w:val="00F02489"/>
    <w:rsid w:val="00F038FC"/>
    <w:rsid w:val="00F20D83"/>
    <w:rsid w:val="00F22753"/>
    <w:rsid w:val="00F2384B"/>
    <w:rsid w:val="00F2482F"/>
    <w:rsid w:val="00F274C8"/>
    <w:rsid w:val="00F31C57"/>
    <w:rsid w:val="00F34D85"/>
    <w:rsid w:val="00F352F9"/>
    <w:rsid w:val="00F373FF"/>
    <w:rsid w:val="00F55D6E"/>
    <w:rsid w:val="00F62AF2"/>
    <w:rsid w:val="00F67B37"/>
    <w:rsid w:val="00F700D9"/>
    <w:rsid w:val="00F704E4"/>
    <w:rsid w:val="00F72499"/>
    <w:rsid w:val="00F75803"/>
    <w:rsid w:val="00FA3806"/>
    <w:rsid w:val="00FAF334"/>
    <w:rsid w:val="00FB33D0"/>
    <w:rsid w:val="00FB380D"/>
    <w:rsid w:val="00FB3B68"/>
    <w:rsid w:val="00FC1AB5"/>
    <w:rsid w:val="00FC38E2"/>
    <w:rsid w:val="00FC4B45"/>
    <w:rsid w:val="00FC4BD3"/>
    <w:rsid w:val="00FC69BF"/>
    <w:rsid w:val="00FD6A34"/>
    <w:rsid w:val="00FD79F1"/>
    <w:rsid w:val="00FE1A28"/>
    <w:rsid w:val="00FE1C30"/>
    <w:rsid w:val="00FE2E07"/>
    <w:rsid w:val="00FE6C74"/>
    <w:rsid w:val="00FE7724"/>
    <w:rsid w:val="00FF14B7"/>
    <w:rsid w:val="00FF3A2A"/>
    <w:rsid w:val="01091C16"/>
    <w:rsid w:val="014600BA"/>
    <w:rsid w:val="01661369"/>
    <w:rsid w:val="01697169"/>
    <w:rsid w:val="0169BC9E"/>
    <w:rsid w:val="01A44304"/>
    <w:rsid w:val="01D0842D"/>
    <w:rsid w:val="01DBDC85"/>
    <w:rsid w:val="01F6BB82"/>
    <w:rsid w:val="0206C078"/>
    <w:rsid w:val="020E6C13"/>
    <w:rsid w:val="021C1708"/>
    <w:rsid w:val="021F9241"/>
    <w:rsid w:val="026D4A84"/>
    <w:rsid w:val="029951F1"/>
    <w:rsid w:val="02BD660B"/>
    <w:rsid w:val="02D1DD02"/>
    <w:rsid w:val="02DB394B"/>
    <w:rsid w:val="02EBD0C3"/>
    <w:rsid w:val="02FA4178"/>
    <w:rsid w:val="030C5D67"/>
    <w:rsid w:val="03233C04"/>
    <w:rsid w:val="0324CD83"/>
    <w:rsid w:val="03A849A7"/>
    <w:rsid w:val="03AA4F34"/>
    <w:rsid w:val="0405E4B1"/>
    <w:rsid w:val="04235D95"/>
    <w:rsid w:val="042C185C"/>
    <w:rsid w:val="043C70CE"/>
    <w:rsid w:val="04655097"/>
    <w:rsid w:val="0465D6AC"/>
    <w:rsid w:val="046688DA"/>
    <w:rsid w:val="04790338"/>
    <w:rsid w:val="048C2B3E"/>
    <w:rsid w:val="04B33E71"/>
    <w:rsid w:val="04E1FA99"/>
    <w:rsid w:val="04F3FDC6"/>
    <w:rsid w:val="04FE847E"/>
    <w:rsid w:val="05079160"/>
    <w:rsid w:val="050C26F9"/>
    <w:rsid w:val="050D9C88"/>
    <w:rsid w:val="05358000"/>
    <w:rsid w:val="05B51995"/>
    <w:rsid w:val="05C1EE45"/>
    <w:rsid w:val="05E3BAD6"/>
    <w:rsid w:val="0611F3DA"/>
    <w:rsid w:val="0624212C"/>
    <w:rsid w:val="0625F1D2"/>
    <w:rsid w:val="06291BDD"/>
    <w:rsid w:val="063F2134"/>
    <w:rsid w:val="06470641"/>
    <w:rsid w:val="0665618D"/>
    <w:rsid w:val="06823629"/>
    <w:rsid w:val="06F70F07"/>
    <w:rsid w:val="07075682"/>
    <w:rsid w:val="071B3F4D"/>
    <w:rsid w:val="0720265F"/>
    <w:rsid w:val="07568A0C"/>
    <w:rsid w:val="0759CA0B"/>
    <w:rsid w:val="079D4F14"/>
    <w:rsid w:val="07B2932C"/>
    <w:rsid w:val="07CA4EA5"/>
    <w:rsid w:val="07EEB8D0"/>
    <w:rsid w:val="07FCB5DC"/>
    <w:rsid w:val="080F2DC4"/>
    <w:rsid w:val="081EDB91"/>
    <w:rsid w:val="087439A4"/>
    <w:rsid w:val="087BAD28"/>
    <w:rsid w:val="088886B8"/>
    <w:rsid w:val="08A11D36"/>
    <w:rsid w:val="08DFD0A2"/>
    <w:rsid w:val="08F74AAA"/>
    <w:rsid w:val="08FD7B10"/>
    <w:rsid w:val="090687BF"/>
    <w:rsid w:val="090B2261"/>
    <w:rsid w:val="0910FD21"/>
    <w:rsid w:val="095424EF"/>
    <w:rsid w:val="095CD3A5"/>
    <w:rsid w:val="0994EF49"/>
    <w:rsid w:val="09B6416E"/>
    <w:rsid w:val="09DBF6E1"/>
    <w:rsid w:val="09EA4ADB"/>
    <w:rsid w:val="0A055989"/>
    <w:rsid w:val="0A1010DB"/>
    <w:rsid w:val="0A331F15"/>
    <w:rsid w:val="0A4F86C3"/>
    <w:rsid w:val="0AAA36E5"/>
    <w:rsid w:val="0AB49ABB"/>
    <w:rsid w:val="0ABD58CB"/>
    <w:rsid w:val="0B17990D"/>
    <w:rsid w:val="0B1FC10A"/>
    <w:rsid w:val="0B29B25E"/>
    <w:rsid w:val="0B409D21"/>
    <w:rsid w:val="0B5D1783"/>
    <w:rsid w:val="0BA3CE48"/>
    <w:rsid w:val="0BB41C3F"/>
    <w:rsid w:val="0BBA3F10"/>
    <w:rsid w:val="0C3771C2"/>
    <w:rsid w:val="0C48183D"/>
    <w:rsid w:val="0C891D28"/>
    <w:rsid w:val="0C89A80D"/>
    <w:rsid w:val="0CBF12EC"/>
    <w:rsid w:val="0CE003CC"/>
    <w:rsid w:val="0D1F9100"/>
    <w:rsid w:val="0D245FE4"/>
    <w:rsid w:val="0D469827"/>
    <w:rsid w:val="0D4F2AFD"/>
    <w:rsid w:val="0D5C6354"/>
    <w:rsid w:val="0D6796D8"/>
    <w:rsid w:val="0D9F6407"/>
    <w:rsid w:val="0DBC03C9"/>
    <w:rsid w:val="0DD715DE"/>
    <w:rsid w:val="0E175DA1"/>
    <w:rsid w:val="0E194F72"/>
    <w:rsid w:val="0E357C30"/>
    <w:rsid w:val="0E4F30E3"/>
    <w:rsid w:val="0E51727C"/>
    <w:rsid w:val="0E62F4FA"/>
    <w:rsid w:val="0E65E3E4"/>
    <w:rsid w:val="0E6ADD0B"/>
    <w:rsid w:val="0E71D444"/>
    <w:rsid w:val="0E80D2D7"/>
    <w:rsid w:val="0E91414C"/>
    <w:rsid w:val="0E92D6F1"/>
    <w:rsid w:val="0E97461A"/>
    <w:rsid w:val="0F444E33"/>
    <w:rsid w:val="0F4677C7"/>
    <w:rsid w:val="0F6347E2"/>
    <w:rsid w:val="0F78288B"/>
    <w:rsid w:val="0F959C4E"/>
    <w:rsid w:val="0F9B9025"/>
    <w:rsid w:val="0FA3114A"/>
    <w:rsid w:val="0FA8B7C3"/>
    <w:rsid w:val="0FD51F1F"/>
    <w:rsid w:val="1003185A"/>
    <w:rsid w:val="1007BD36"/>
    <w:rsid w:val="100DFFA9"/>
    <w:rsid w:val="1011C850"/>
    <w:rsid w:val="1012B949"/>
    <w:rsid w:val="1026328E"/>
    <w:rsid w:val="1075FFB2"/>
    <w:rsid w:val="107F02ED"/>
    <w:rsid w:val="10816894"/>
    <w:rsid w:val="1084FFAF"/>
    <w:rsid w:val="1092E531"/>
    <w:rsid w:val="1094CC21"/>
    <w:rsid w:val="10958613"/>
    <w:rsid w:val="10B0DE36"/>
    <w:rsid w:val="10BA0331"/>
    <w:rsid w:val="10BC0853"/>
    <w:rsid w:val="111CE0EB"/>
    <w:rsid w:val="11303D11"/>
    <w:rsid w:val="1135D3BF"/>
    <w:rsid w:val="1170A042"/>
    <w:rsid w:val="11732C8F"/>
    <w:rsid w:val="117C8130"/>
    <w:rsid w:val="119DB91B"/>
    <w:rsid w:val="11AC7088"/>
    <w:rsid w:val="11C7C9F9"/>
    <w:rsid w:val="121C3145"/>
    <w:rsid w:val="124A123A"/>
    <w:rsid w:val="1257F695"/>
    <w:rsid w:val="12587761"/>
    <w:rsid w:val="12803FC3"/>
    <w:rsid w:val="1288C222"/>
    <w:rsid w:val="128FD121"/>
    <w:rsid w:val="12986124"/>
    <w:rsid w:val="12BF8466"/>
    <w:rsid w:val="12DFDA12"/>
    <w:rsid w:val="12E4C29F"/>
    <w:rsid w:val="131324D6"/>
    <w:rsid w:val="1316BA88"/>
    <w:rsid w:val="132448EF"/>
    <w:rsid w:val="13567274"/>
    <w:rsid w:val="13595117"/>
    <w:rsid w:val="13906F9D"/>
    <w:rsid w:val="13C61DFE"/>
    <w:rsid w:val="13E8771C"/>
    <w:rsid w:val="13FA6BD3"/>
    <w:rsid w:val="140162EA"/>
    <w:rsid w:val="143636A1"/>
    <w:rsid w:val="146B31B6"/>
    <w:rsid w:val="14705676"/>
    <w:rsid w:val="14889909"/>
    <w:rsid w:val="148B8146"/>
    <w:rsid w:val="14A4DD3F"/>
    <w:rsid w:val="14A4EE8E"/>
    <w:rsid w:val="14A5D3FC"/>
    <w:rsid w:val="14B7BA4C"/>
    <w:rsid w:val="14BB36FD"/>
    <w:rsid w:val="14E785F8"/>
    <w:rsid w:val="1528EA1D"/>
    <w:rsid w:val="155876D8"/>
    <w:rsid w:val="157CF1C4"/>
    <w:rsid w:val="157E9ABE"/>
    <w:rsid w:val="159610CD"/>
    <w:rsid w:val="15A4900C"/>
    <w:rsid w:val="15A90FBF"/>
    <w:rsid w:val="15B3FC69"/>
    <w:rsid w:val="15E1E9C6"/>
    <w:rsid w:val="15FD1E41"/>
    <w:rsid w:val="163A7F94"/>
    <w:rsid w:val="164CF060"/>
    <w:rsid w:val="165EFB56"/>
    <w:rsid w:val="16654285"/>
    <w:rsid w:val="16727932"/>
    <w:rsid w:val="16C17894"/>
    <w:rsid w:val="16E266EC"/>
    <w:rsid w:val="16EA7C3D"/>
    <w:rsid w:val="16ED768D"/>
    <w:rsid w:val="16EE6289"/>
    <w:rsid w:val="170632DB"/>
    <w:rsid w:val="1734BBA2"/>
    <w:rsid w:val="1746458B"/>
    <w:rsid w:val="17700428"/>
    <w:rsid w:val="177C9276"/>
    <w:rsid w:val="17BD1B80"/>
    <w:rsid w:val="17E90A5D"/>
    <w:rsid w:val="18018AB0"/>
    <w:rsid w:val="18365B19"/>
    <w:rsid w:val="1847C762"/>
    <w:rsid w:val="18ACA7BF"/>
    <w:rsid w:val="18DAEFC1"/>
    <w:rsid w:val="18E8095C"/>
    <w:rsid w:val="18F9B395"/>
    <w:rsid w:val="18FF4BA6"/>
    <w:rsid w:val="190445CD"/>
    <w:rsid w:val="1907D6C6"/>
    <w:rsid w:val="190F6990"/>
    <w:rsid w:val="1924DC63"/>
    <w:rsid w:val="194ED3A0"/>
    <w:rsid w:val="196EA7D7"/>
    <w:rsid w:val="19888270"/>
    <w:rsid w:val="199236E1"/>
    <w:rsid w:val="1993789C"/>
    <w:rsid w:val="19A1A673"/>
    <w:rsid w:val="19B1AD8A"/>
    <w:rsid w:val="19CC4657"/>
    <w:rsid w:val="19ED384B"/>
    <w:rsid w:val="1A27C154"/>
    <w:rsid w:val="1A3E282F"/>
    <w:rsid w:val="1A3FF167"/>
    <w:rsid w:val="1A547A2E"/>
    <w:rsid w:val="1A61E8B9"/>
    <w:rsid w:val="1A8A3D35"/>
    <w:rsid w:val="1AB6F846"/>
    <w:rsid w:val="1AD04749"/>
    <w:rsid w:val="1AD2F00D"/>
    <w:rsid w:val="1AD9A90C"/>
    <w:rsid w:val="1AEB088E"/>
    <w:rsid w:val="1B249E8B"/>
    <w:rsid w:val="1B2D97A2"/>
    <w:rsid w:val="1B64005D"/>
    <w:rsid w:val="1B754FD3"/>
    <w:rsid w:val="1B876C60"/>
    <w:rsid w:val="1B87EBD3"/>
    <w:rsid w:val="1B96D524"/>
    <w:rsid w:val="1BB617BA"/>
    <w:rsid w:val="1BC7E399"/>
    <w:rsid w:val="1BE296DD"/>
    <w:rsid w:val="1BE95939"/>
    <w:rsid w:val="1BEAF4E6"/>
    <w:rsid w:val="1C1344AF"/>
    <w:rsid w:val="1C305F32"/>
    <w:rsid w:val="1C5A3092"/>
    <w:rsid w:val="1C65E0E4"/>
    <w:rsid w:val="1C9113B4"/>
    <w:rsid w:val="1C945196"/>
    <w:rsid w:val="1CB0B4B6"/>
    <w:rsid w:val="1D1F434B"/>
    <w:rsid w:val="1D607886"/>
    <w:rsid w:val="1DF37B19"/>
    <w:rsid w:val="1E61CD0F"/>
    <w:rsid w:val="1E666D8A"/>
    <w:rsid w:val="1E7AAB42"/>
    <w:rsid w:val="1E82AA74"/>
    <w:rsid w:val="1E89D05D"/>
    <w:rsid w:val="1E9B2420"/>
    <w:rsid w:val="1EB33719"/>
    <w:rsid w:val="1EBB18E8"/>
    <w:rsid w:val="1ECAC947"/>
    <w:rsid w:val="1EE057E0"/>
    <w:rsid w:val="1EF3F957"/>
    <w:rsid w:val="1EFEAA18"/>
    <w:rsid w:val="1F2EF43C"/>
    <w:rsid w:val="1F4C6B1B"/>
    <w:rsid w:val="1F5537D2"/>
    <w:rsid w:val="1F6131DD"/>
    <w:rsid w:val="1FBBFE25"/>
    <w:rsid w:val="1FC6FF5D"/>
    <w:rsid w:val="1FCA0F60"/>
    <w:rsid w:val="1FE6B5D5"/>
    <w:rsid w:val="1FFD73BF"/>
    <w:rsid w:val="2014A527"/>
    <w:rsid w:val="2037DD23"/>
    <w:rsid w:val="2039292F"/>
    <w:rsid w:val="2041CC17"/>
    <w:rsid w:val="204DBEBC"/>
    <w:rsid w:val="204EB35D"/>
    <w:rsid w:val="2052594A"/>
    <w:rsid w:val="2052E4CE"/>
    <w:rsid w:val="2059BC2D"/>
    <w:rsid w:val="20E2E491"/>
    <w:rsid w:val="20F772C5"/>
    <w:rsid w:val="210E45FA"/>
    <w:rsid w:val="21172264"/>
    <w:rsid w:val="21359E9F"/>
    <w:rsid w:val="2179418C"/>
    <w:rsid w:val="217ACA41"/>
    <w:rsid w:val="2185B84E"/>
    <w:rsid w:val="21B67347"/>
    <w:rsid w:val="21EEF144"/>
    <w:rsid w:val="2210C328"/>
    <w:rsid w:val="2212A4E7"/>
    <w:rsid w:val="221FE4B1"/>
    <w:rsid w:val="2294E8A3"/>
    <w:rsid w:val="2299801F"/>
    <w:rsid w:val="22BA0AA6"/>
    <w:rsid w:val="22BC1B64"/>
    <w:rsid w:val="22D7EBA8"/>
    <w:rsid w:val="22DDAD82"/>
    <w:rsid w:val="230068BE"/>
    <w:rsid w:val="232027F0"/>
    <w:rsid w:val="23792686"/>
    <w:rsid w:val="23B2434A"/>
    <w:rsid w:val="23C5C339"/>
    <w:rsid w:val="23D34228"/>
    <w:rsid w:val="23E0B246"/>
    <w:rsid w:val="23F7AE75"/>
    <w:rsid w:val="241773BF"/>
    <w:rsid w:val="241F0CF1"/>
    <w:rsid w:val="24328869"/>
    <w:rsid w:val="2440EC7B"/>
    <w:rsid w:val="245F9FD5"/>
    <w:rsid w:val="2462FF7D"/>
    <w:rsid w:val="246824CC"/>
    <w:rsid w:val="24C71D66"/>
    <w:rsid w:val="24C84C0D"/>
    <w:rsid w:val="24CF5271"/>
    <w:rsid w:val="251430AB"/>
    <w:rsid w:val="254A0A42"/>
    <w:rsid w:val="255B62FF"/>
    <w:rsid w:val="25604647"/>
    <w:rsid w:val="259F28ED"/>
    <w:rsid w:val="25A7538E"/>
    <w:rsid w:val="25A9C32F"/>
    <w:rsid w:val="25A9F9BB"/>
    <w:rsid w:val="25C6B8EE"/>
    <w:rsid w:val="25D5FAB5"/>
    <w:rsid w:val="25DE47F3"/>
    <w:rsid w:val="25F219C6"/>
    <w:rsid w:val="2600238A"/>
    <w:rsid w:val="263249D4"/>
    <w:rsid w:val="26441829"/>
    <w:rsid w:val="264B4CA6"/>
    <w:rsid w:val="26538F8F"/>
    <w:rsid w:val="26A451E5"/>
    <w:rsid w:val="26AC9585"/>
    <w:rsid w:val="26C335FC"/>
    <w:rsid w:val="26E48E07"/>
    <w:rsid w:val="273DCD88"/>
    <w:rsid w:val="2757FB6E"/>
    <w:rsid w:val="275F3C4F"/>
    <w:rsid w:val="276E8A60"/>
    <w:rsid w:val="276F2372"/>
    <w:rsid w:val="27A00B53"/>
    <w:rsid w:val="27BE7A1A"/>
    <w:rsid w:val="27C346F5"/>
    <w:rsid w:val="27CA17A1"/>
    <w:rsid w:val="27DE981D"/>
    <w:rsid w:val="27F4F1C6"/>
    <w:rsid w:val="27F52BB0"/>
    <w:rsid w:val="27FA8E8D"/>
    <w:rsid w:val="27FF0642"/>
    <w:rsid w:val="2813697B"/>
    <w:rsid w:val="28282F08"/>
    <w:rsid w:val="283D8D63"/>
    <w:rsid w:val="284A336E"/>
    <w:rsid w:val="288FA235"/>
    <w:rsid w:val="28AA4A6C"/>
    <w:rsid w:val="28BAB13B"/>
    <w:rsid w:val="28D17593"/>
    <w:rsid w:val="28D25089"/>
    <w:rsid w:val="28D85A8B"/>
    <w:rsid w:val="28DE2AEB"/>
    <w:rsid w:val="2905C3B9"/>
    <w:rsid w:val="29A822AE"/>
    <w:rsid w:val="29C51AFE"/>
    <w:rsid w:val="29D2F2F0"/>
    <w:rsid w:val="29D66606"/>
    <w:rsid w:val="2A0350BA"/>
    <w:rsid w:val="2A3084A1"/>
    <w:rsid w:val="2A327214"/>
    <w:rsid w:val="2A947211"/>
    <w:rsid w:val="2AA3EC80"/>
    <w:rsid w:val="2AF8FC6B"/>
    <w:rsid w:val="2B0DC254"/>
    <w:rsid w:val="2B6492F4"/>
    <w:rsid w:val="2B6DBA22"/>
    <w:rsid w:val="2B791A07"/>
    <w:rsid w:val="2B79C360"/>
    <w:rsid w:val="2B8DAD4E"/>
    <w:rsid w:val="2BBDD3C5"/>
    <w:rsid w:val="2BCBA67D"/>
    <w:rsid w:val="2BE45BA4"/>
    <w:rsid w:val="2BE8C879"/>
    <w:rsid w:val="2BFE9717"/>
    <w:rsid w:val="2C1479DA"/>
    <w:rsid w:val="2C21995B"/>
    <w:rsid w:val="2C229978"/>
    <w:rsid w:val="2C4B74A2"/>
    <w:rsid w:val="2C504E6C"/>
    <w:rsid w:val="2C57EDB4"/>
    <w:rsid w:val="2C6F263B"/>
    <w:rsid w:val="2C7BE21E"/>
    <w:rsid w:val="2CFAA0A3"/>
    <w:rsid w:val="2CFB986A"/>
    <w:rsid w:val="2D05C5ED"/>
    <w:rsid w:val="2D2B3642"/>
    <w:rsid w:val="2D427419"/>
    <w:rsid w:val="2D611656"/>
    <w:rsid w:val="2D658C99"/>
    <w:rsid w:val="2D696537"/>
    <w:rsid w:val="2D7E6E78"/>
    <w:rsid w:val="2DA5A44D"/>
    <w:rsid w:val="2E2A3AD5"/>
    <w:rsid w:val="2E2B22E4"/>
    <w:rsid w:val="2E6771D6"/>
    <w:rsid w:val="2E81BDD9"/>
    <w:rsid w:val="2E8A3C90"/>
    <w:rsid w:val="2ECCD204"/>
    <w:rsid w:val="2F324B89"/>
    <w:rsid w:val="2F363D39"/>
    <w:rsid w:val="2F43040E"/>
    <w:rsid w:val="2F5074C6"/>
    <w:rsid w:val="2F622A17"/>
    <w:rsid w:val="2F7531A3"/>
    <w:rsid w:val="2F8B9D5B"/>
    <w:rsid w:val="2FA25429"/>
    <w:rsid w:val="2FA60F3D"/>
    <w:rsid w:val="2FAC31D6"/>
    <w:rsid w:val="2FB36BB3"/>
    <w:rsid w:val="2FB5D38C"/>
    <w:rsid w:val="2FC96002"/>
    <w:rsid w:val="300A2DFF"/>
    <w:rsid w:val="301B8973"/>
    <w:rsid w:val="302C4A5B"/>
    <w:rsid w:val="30401A21"/>
    <w:rsid w:val="30824DD8"/>
    <w:rsid w:val="30AEFC96"/>
    <w:rsid w:val="30B53111"/>
    <w:rsid w:val="30C1A6A4"/>
    <w:rsid w:val="30E34609"/>
    <w:rsid w:val="310757B8"/>
    <w:rsid w:val="310BE761"/>
    <w:rsid w:val="310CD4E6"/>
    <w:rsid w:val="312A2EBF"/>
    <w:rsid w:val="3141BA22"/>
    <w:rsid w:val="314A6C89"/>
    <w:rsid w:val="3160C5B9"/>
    <w:rsid w:val="3175150A"/>
    <w:rsid w:val="3187B5D7"/>
    <w:rsid w:val="31A355B1"/>
    <w:rsid w:val="31B6C182"/>
    <w:rsid w:val="31B929EE"/>
    <w:rsid w:val="31E65905"/>
    <w:rsid w:val="31F09DDD"/>
    <w:rsid w:val="32117597"/>
    <w:rsid w:val="3214F7A0"/>
    <w:rsid w:val="3255EE57"/>
    <w:rsid w:val="32580021"/>
    <w:rsid w:val="325ACF3B"/>
    <w:rsid w:val="3283C37A"/>
    <w:rsid w:val="328F7D61"/>
    <w:rsid w:val="32B449AD"/>
    <w:rsid w:val="32CB15C6"/>
    <w:rsid w:val="32D04275"/>
    <w:rsid w:val="32F47D6E"/>
    <w:rsid w:val="3325D820"/>
    <w:rsid w:val="33787F44"/>
    <w:rsid w:val="337BDAF1"/>
    <w:rsid w:val="33B37649"/>
    <w:rsid w:val="33FA0657"/>
    <w:rsid w:val="340EA31A"/>
    <w:rsid w:val="3419558F"/>
    <w:rsid w:val="342FCFF8"/>
    <w:rsid w:val="3434F8E0"/>
    <w:rsid w:val="343BEFCD"/>
    <w:rsid w:val="34459D31"/>
    <w:rsid w:val="344B7B97"/>
    <w:rsid w:val="345E051E"/>
    <w:rsid w:val="34602474"/>
    <w:rsid w:val="348C2996"/>
    <w:rsid w:val="349C8369"/>
    <w:rsid w:val="34D6127D"/>
    <w:rsid w:val="34E7D1ED"/>
    <w:rsid w:val="35090A51"/>
    <w:rsid w:val="3531E93F"/>
    <w:rsid w:val="35592C70"/>
    <w:rsid w:val="3561858D"/>
    <w:rsid w:val="3590E82E"/>
    <w:rsid w:val="35AE5112"/>
    <w:rsid w:val="35C7E3A4"/>
    <w:rsid w:val="35C9B0E5"/>
    <w:rsid w:val="36020721"/>
    <w:rsid w:val="36090A72"/>
    <w:rsid w:val="360E93CC"/>
    <w:rsid w:val="3616A7E9"/>
    <w:rsid w:val="3640666C"/>
    <w:rsid w:val="3644DA52"/>
    <w:rsid w:val="364D65B3"/>
    <w:rsid w:val="3678712D"/>
    <w:rsid w:val="367928AB"/>
    <w:rsid w:val="36C1D1DC"/>
    <w:rsid w:val="36CB3D5C"/>
    <w:rsid w:val="36F7802D"/>
    <w:rsid w:val="3704D2D7"/>
    <w:rsid w:val="373D4478"/>
    <w:rsid w:val="373F7EC5"/>
    <w:rsid w:val="377AB211"/>
    <w:rsid w:val="378EA314"/>
    <w:rsid w:val="37CA3C2A"/>
    <w:rsid w:val="37CCAC1B"/>
    <w:rsid w:val="37E73EBC"/>
    <w:rsid w:val="37E8E359"/>
    <w:rsid w:val="38095331"/>
    <w:rsid w:val="3822C6A9"/>
    <w:rsid w:val="386D3F7B"/>
    <w:rsid w:val="38F04D0B"/>
    <w:rsid w:val="3900DC6A"/>
    <w:rsid w:val="392A75F7"/>
    <w:rsid w:val="3942CA3A"/>
    <w:rsid w:val="39443239"/>
    <w:rsid w:val="39788F66"/>
    <w:rsid w:val="39A120B6"/>
    <w:rsid w:val="39C917BB"/>
    <w:rsid w:val="39D6C1DE"/>
    <w:rsid w:val="39DC3739"/>
    <w:rsid w:val="39F3716A"/>
    <w:rsid w:val="3A292469"/>
    <w:rsid w:val="3A96D2ED"/>
    <w:rsid w:val="3A9EBC56"/>
    <w:rsid w:val="3AA96B99"/>
    <w:rsid w:val="3AB28A49"/>
    <w:rsid w:val="3AC5801D"/>
    <w:rsid w:val="3AC94672"/>
    <w:rsid w:val="3B13C708"/>
    <w:rsid w:val="3B31EA11"/>
    <w:rsid w:val="3B4D9E70"/>
    <w:rsid w:val="3B5AB2D6"/>
    <w:rsid w:val="3B64764D"/>
    <w:rsid w:val="3B78B34F"/>
    <w:rsid w:val="3B9BDD2A"/>
    <w:rsid w:val="3BB6AA13"/>
    <w:rsid w:val="3BBB7F4C"/>
    <w:rsid w:val="3BE4FF3C"/>
    <w:rsid w:val="3BF78B4D"/>
    <w:rsid w:val="3BF83372"/>
    <w:rsid w:val="3C098C99"/>
    <w:rsid w:val="3C3048B6"/>
    <w:rsid w:val="3C39402F"/>
    <w:rsid w:val="3C3DA548"/>
    <w:rsid w:val="3C3E56EB"/>
    <w:rsid w:val="3C4FAB12"/>
    <w:rsid w:val="3C54D8F4"/>
    <w:rsid w:val="3C59482D"/>
    <w:rsid w:val="3C5FDA16"/>
    <w:rsid w:val="3C671026"/>
    <w:rsid w:val="3CCBB069"/>
    <w:rsid w:val="3CCF5C03"/>
    <w:rsid w:val="3CEDE3CD"/>
    <w:rsid w:val="3D146221"/>
    <w:rsid w:val="3D16C404"/>
    <w:rsid w:val="3D1EE2B6"/>
    <w:rsid w:val="3D7FBC8E"/>
    <w:rsid w:val="3DBEC32E"/>
    <w:rsid w:val="3DDA859A"/>
    <w:rsid w:val="3E0F31FA"/>
    <w:rsid w:val="3E171D3C"/>
    <w:rsid w:val="3E20D9EA"/>
    <w:rsid w:val="3E3AA107"/>
    <w:rsid w:val="3E3F1507"/>
    <w:rsid w:val="3E6B63B0"/>
    <w:rsid w:val="3E81F4E9"/>
    <w:rsid w:val="3E8324D2"/>
    <w:rsid w:val="3ED1825E"/>
    <w:rsid w:val="3F183C21"/>
    <w:rsid w:val="3F31A911"/>
    <w:rsid w:val="3F7EF0E4"/>
    <w:rsid w:val="3FAFC8AD"/>
    <w:rsid w:val="3FE17AB1"/>
    <w:rsid w:val="3FF2F637"/>
    <w:rsid w:val="4003C558"/>
    <w:rsid w:val="40101AE7"/>
    <w:rsid w:val="401CD619"/>
    <w:rsid w:val="403E6218"/>
    <w:rsid w:val="40487904"/>
    <w:rsid w:val="4070765C"/>
    <w:rsid w:val="40781E4B"/>
    <w:rsid w:val="407B5C54"/>
    <w:rsid w:val="409D598D"/>
    <w:rsid w:val="40B2073B"/>
    <w:rsid w:val="40FF67D5"/>
    <w:rsid w:val="4144A709"/>
    <w:rsid w:val="416513E0"/>
    <w:rsid w:val="41A1621E"/>
    <w:rsid w:val="41E69602"/>
    <w:rsid w:val="41EAECF9"/>
    <w:rsid w:val="41FBFC1F"/>
    <w:rsid w:val="421A5662"/>
    <w:rsid w:val="422B8FE7"/>
    <w:rsid w:val="424E99E8"/>
    <w:rsid w:val="428AC23C"/>
    <w:rsid w:val="42A1EBE2"/>
    <w:rsid w:val="42B9FF9F"/>
    <w:rsid w:val="42EA0A1A"/>
    <w:rsid w:val="42F3A47F"/>
    <w:rsid w:val="431055BC"/>
    <w:rsid w:val="4318CBD5"/>
    <w:rsid w:val="431B3EAE"/>
    <w:rsid w:val="4331E45C"/>
    <w:rsid w:val="4341F7AE"/>
    <w:rsid w:val="43643E3E"/>
    <w:rsid w:val="43700F19"/>
    <w:rsid w:val="43882A20"/>
    <w:rsid w:val="438A273B"/>
    <w:rsid w:val="439FE140"/>
    <w:rsid w:val="43B27D55"/>
    <w:rsid w:val="43E51A74"/>
    <w:rsid w:val="441D0D6E"/>
    <w:rsid w:val="442029A3"/>
    <w:rsid w:val="442CF1D9"/>
    <w:rsid w:val="4461EAA0"/>
    <w:rsid w:val="4469F4D6"/>
    <w:rsid w:val="44771D41"/>
    <w:rsid w:val="44BA5B11"/>
    <w:rsid w:val="44C4F6F1"/>
    <w:rsid w:val="451ED2DC"/>
    <w:rsid w:val="4531DB92"/>
    <w:rsid w:val="45402C81"/>
    <w:rsid w:val="454BDB42"/>
    <w:rsid w:val="45552DD3"/>
    <w:rsid w:val="456B4170"/>
    <w:rsid w:val="458E0D80"/>
    <w:rsid w:val="45EAE8F9"/>
    <w:rsid w:val="460C8CF3"/>
    <w:rsid w:val="4617C6DD"/>
    <w:rsid w:val="463800D3"/>
    <w:rsid w:val="4646D2CA"/>
    <w:rsid w:val="4669D461"/>
    <w:rsid w:val="4684F243"/>
    <w:rsid w:val="46932343"/>
    <w:rsid w:val="46DE3438"/>
    <w:rsid w:val="46F28FE2"/>
    <w:rsid w:val="475F9517"/>
    <w:rsid w:val="479DBE1C"/>
    <w:rsid w:val="47A06DFA"/>
    <w:rsid w:val="47A7152A"/>
    <w:rsid w:val="47B5B241"/>
    <w:rsid w:val="47BE15FB"/>
    <w:rsid w:val="47D3CD2C"/>
    <w:rsid w:val="47EC1AC9"/>
    <w:rsid w:val="47EEFA9E"/>
    <w:rsid w:val="481C2732"/>
    <w:rsid w:val="482392F9"/>
    <w:rsid w:val="48992A44"/>
    <w:rsid w:val="489FDE6B"/>
    <w:rsid w:val="48A3D038"/>
    <w:rsid w:val="48ADFB01"/>
    <w:rsid w:val="48C24A74"/>
    <w:rsid w:val="48D82934"/>
    <w:rsid w:val="49195839"/>
    <w:rsid w:val="49426D1B"/>
    <w:rsid w:val="4950144B"/>
    <w:rsid w:val="4968FACD"/>
    <w:rsid w:val="496F3AE6"/>
    <w:rsid w:val="4975539A"/>
    <w:rsid w:val="49AA23DE"/>
    <w:rsid w:val="49D26AD9"/>
    <w:rsid w:val="49D5E982"/>
    <w:rsid w:val="49E8072A"/>
    <w:rsid w:val="4A03671F"/>
    <w:rsid w:val="4A4A5D91"/>
    <w:rsid w:val="4A4A6414"/>
    <w:rsid w:val="4A7A87DC"/>
    <w:rsid w:val="4A9A4964"/>
    <w:rsid w:val="4AB452CF"/>
    <w:rsid w:val="4ADE9D0B"/>
    <w:rsid w:val="4B22413A"/>
    <w:rsid w:val="4B772BB5"/>
    <w:rsid w:val="4B8905AA"/>
    <w:rsid w:val="4B8EC2D0"/>
    <w:rsid w:val="4BA1A70E"/>
    <w:rsid w:val="4BF38044"/>
    <w:rsid w:val="4C193214"/>
    <w:rsid w:val="4C3278C4"/>
    <w:rsid w:val="4C49773C"/>
    <w:rsid w:val="4C7E4BFD"/>
    <w:rsid w:val="4C945A42"/>
    <w:rsid w:val="4CB07F90"/>
    <w:rsid w:val="4CE60F2A"/>
    <w:rsid w:val="4CF5FA1F"/>
    <w:rsid w:val="4D1F0BFE"/>
    <w:rsid w:val="4D444071"/>
    <w:rsid w:val="4D63D237"/>
    <w:rsid w:val="4D65BC88"/>
    <w:rsid w:val="4D9C5D33"/>
    <w:rsid w:val="4DD064E5"/>
    <w:rsid w:val="4E095B85"/>
    <w:rsid w:val="4E402EBD"/>
    <w:rsid w:val="4E5CD9BC"/>
    <w:rsid w:val="4E6579F7"/>
    <w:rsid w:val="4E6BE326"/>
    <w:rsid w:val="4E7EAA11"/>
    <w:rsid w:val="4E94ADBE"/>
    <w:rsid w:val="4E991560"/>
    <w:rsid w:val="4E9AF31C"/>
    <w:rsid w:val="4ECE8A4A"/>
    <w:rsid w:val="4EDC5733"/>
    <w:rsid w:val="4EE8A2F1"/>
    <w:rsid w:val="4EEE8002"/>
    <w:rsid w:val="4F071213"/>
    <w:rsid w:val="4F104937"/>
    <w:rsid w:val="4F2E0AFB"/>
    <w:rsid w:val="4F3CBB1A"/>
    <w:rsid w:val="4F8B86A2"/>
    <w:rsid w:val="4F8CF467"/>
    <w:rsid w:val="4F97D09F"/>
    <w:rsid w:val="4FB32A94"/>
    <w:rsid w:val="4FD6ECDC"/>
    <w:rsid w:val="500D7714"/>
    <w:rsid w:val="501B4C2A"/>
    <w:rsid w:val="50366A32"/>
    <w:rsid w:val="50718456"/>
    <w:rsid w:val="50BA4146"/>
    <w:rsid w:val="50C2152C"/>
    <w:rsid w:val="50D770B9"/>
    <w:rsid w:val="50D8703A"/>
    <w:rsid w:val="50D954D3"/>
    <w:rsid w:val="50E0C31D"/>
    <w:rsid w:val="51167685"/>
    <w:rsid w:val="51202D0D"/>
    <w:rsid w:val="51444A42"/>
    <w:rsid w:val="5158A55C"/>
    <w:rsid w:val="5167BD83"/>
    <w:rsid w:val="5169C587"/>
    <w:rsid w:val="5178D5B9"/>
    <w:rsid w:val="51981C6F"/>
    <w:rsid w:val="524AC11F"/>
    <w:rsid w:val="5286EBE9"/>
    <w:rsid w:val="5292115D"/>
    <w:rsid w:val="52A12657"/>
    <w:rsid w:val="52AEB205"/>
    <w:rsid w:val="52DC1F58"/>
    <w:rsid w:val="52E81696"/>
    <w:rsid w:val="52F625CF"/>
    <w:rsid w:val="530445DE"/>
    <w:rsid w:val="53267D4E"/>
    <w:rsid w:val="536575A2"/>
    <w:rsid w:val="5375F95A"/>
    <w:rsid w:val="53794F3F"/>
    <w:rsid w:val="539B9D62"/>
    <w:rsid w:val="53AA72C3"/>
    <w:rsid w:val="53AEC8BF"/>
    <w:rsid w:val="53B6382E"/>
    <w:rsid w:val="53B7D8FB"/>
    <w:rsid w:val="53BD1F00"/>
    <w:rsid w:val="53DC81AD"/>
    <w:rsid w:val="54072F61"/>
    <w:rsid w:val="54097614"/>
    <w:rsid w:val="5427E736"/>
    <w:rsid w:val="54A4A62E"/>
    <w:rsid w:val="54B7E268"/>
    <w:rsid w:val="54D526A5"/>
    <w:rsid w:val="54D52DA6"/>
    <w:rsid w:val="54D80CA6"/>
    <w:rsid w:val="54D8A663"/>
    <w:rsid w:val="5500CA7E"/>
    <w:rsid w:val="5502CD48"/>
    <w:rsid w:val="5514DD3F"/>
    <w:rsid w:val="55289C9A"/>
    <w:rsid w:val="5529AED2"/>
    <w:rsid w:val="5537CB0E"/>
    <w:rsid w:val="554AFD8F"/>
    <w:rsid w:val="55657021"/>
    <w:rsid w:val="55924151"/>
    <w:rsid w:val="55A2FB5D"/>
    <w:rsid w:val="55A980EB"/>
    <w:rsid w:val="55B30404"/>
    <w:rsid w:val="55BADBC8"/>
    <w:rsid w:val="55D4723C"/>
    <w:rsid w:val="55FB0E76"/>
    <w:rsid w:val="56013495"/>
    <w:rsid w:val="560F1465"/>
    <w:rsid w:val="5610B5E0"/>
    <w:rsid w:val="561C0B0F"/>
    <w:rsid w:val="562C7FA1"/>
    <w:rsid w:val="5665F993"/>
    <w:rsid w:val="56BFF9FF"/>
    <w:rsid w:val="56D13D10"/>
    <w:rsid w:val="56D84FDA"/>
    <w:rsid w:val="56DC494F"/>
    <w:rsid w:val="56EFF499"/>
    <w:rsid w:val="570DA647"/>
    <w:rsid w:val="572822DA"/>
    <w:rsid w:val="5758868D"/>
    <w:rsid w:val="577EC94B"/>
    <w:rsid w:val="57A112DF"/>
    <w:rsid w:val="57D67816"/>
    <w:rsid w:val="57E4FB71"/>
    <w:rsid w:val="58037F3F"/>
    <w:rsid w:val="583EF302"/>
    <w:rsid w:val="5841DF7D"/>
    <w:rsid w:val="584EF26F"/>
    <w:rsid w:val="586E5143"/>
    <w:rsid w:val="5871E78A"/>
    <w:rsid w:val="58BB1124"/>
    <w:rsid w:val="58C97C6B"/>
    <w:rsid w:val="58DDA268"/>
    <w:rsid w:val="5922B5F2"/>
    <w:rsid w:val="5929EB0E"/>
    <w:rsid w:val="594ABB39"/>
    <w:rsid w:val="597D627A"/>
    <w:rsid w:val="598C42F3"/>
    <w:rsid w:val="59E9E2F5"/>
    <w:rsid w:val="59F1BB09"/>
    <w:rsid w:val="5A4F72A4"/>
    <w:rsid w:val="5A65090C"/>
    <w:rsid w:val="5A7F69C1"/>
    <w:rsid w:val="5A920D27"/>
    <w:rsid w:val="5AA69DE9"/>
    <w:rsid w:val="5AA926B6"/>
    <w:rsid w:val="5AC91FBE"/>
    <w:rsid w:val="5ADBC409"/>
    <w:rsid w:val="5B35466E"/>
    <w:rsid w:val="5B3D0AAA"/>
    <w:rsid w:val="5B42D51D"/>
    <w:rsid w:val="5B52518F"/>
    <w:rsid w:val="5B66277F"/>
    <w:rsid w:val="5B6FD7EE"/>
    <w:rsid w:val="5BC2EA93"/>
    <w:rsid w:val="5BD8653F"/>
    <w:rsid w:val="5BDA8041"/>
    <w:rsid w:val="5BE604FC"/>
    <w:rsid w:val="5BEDB704"/>
    <w:rsid w:val="5C0E50C0"/>
    <w:rsid w:val="5C2D2D9E"/>
    <w:rsid w:val="5C6D5876"/>
    <w:rsid w:val="5C717AD6"/>
    <w:rsid w:val="5C8D7176"/>
    <w:rsid w:val="5C9C651D"/>
    <w:rsid w:val="5D5D2445"/>
    <w:rsid w:val="5D693E18"/>
    <w:rsid w:val="5D7B5B8A"/>
    <w:rsid w:val="5DA5C640"/>
    <w:rsid w:val="5E049B9C"/>
    <w:rsid w:val="5E1A7DE6"/>
    <w:rsid w:val="5E283D9F"/>
    <w:rsid w:val="5E402B3F"/>
    <w:rsid w:val="5E42F72B"/>
    <w:rsid w:val="5E48E90F"/>
    <w:rsid w:val="5E66B58E"/>
    <w:rsid w:val="5E676B98"/>
    <w:rsid w:val="5E6A3EA4"/>
    <w:rsid w:val="5E866213"/>
    <w:rsid w:val="5E871A29"/>
    <w:rsid w:val="5E986826"/>
    <w:rsid w:val="5F411B0F"/>
    <w:rsid w:val="5F4233B2"/>
    <w:rsid w:val="5F63B2D4"/>
    <w:rsid w:val="5F63B532"/>
    <w:rsid w:val="5F8D768A"/>
    <w:rsid w:val="5F970615"/>
    <w:rsid w:val="5FB09FDF"/>
    <w:rsid w:val="5FC16FE3"/>
    <w:rsid w:val="5FC9C6EF"/>
    <w:rsid w:val="5FCFECDF"/>
    <w:rsid w:val="5FDF83A4"/>
    <w:rsid w:val="5FFF3383"/>
    <w:rsid w:val="6029C4E7"/>
    <w:rsid w:val="602D9731"/>
    <w:rsid w:val="603ACFE5"/>
    <w:rsid w:val="603BF15D"/>
    <w:rsid w:val="60592EF8"/>
    <w:rsid w:val="607C8D8D"/>
    <w:rsid w:val="607F62C0"/>
    <w:rsid w:val="6088BDF4"/>
    <w:rsid w:val="609E247D"/>
    <w:rsid w:val="609FF5DE"/>
    <w:rsid w:val="60AEAB5A"/>
    <w:rsid w:val="60BBDA6E"/>
    <w:rsid w:val="60D3FBAF"/>
    <w:rsid w:val="60F3E6AD"/>
    <w:rsid w:val="6103C46F"/>
    <w:rsid w:val="610D4AE0"/>
    <w:rsid w:val="6127397C"/>
    <w:rsid w:val="612EC9AB"/>
    <w:rsid w:val="618B5555"/>
    <w:rsid w:val="61B0ABD3"/>
    <w:rsid w:val="61B565ED"/>
    <w:rsid w:val="61C53A42"/>
    <w:rsid w:val="61DA2357"/>
    <w:rsid w:val="61EE2BB4"/>
    <w:rsid w:val="61F43D5B"/>
    <w:rsid w:val="6286A44B"/>
    <w:rsid w:val="629F8D46"/>
    <w:rsid w:val="62A41255"/>
    <w:rsid w:val="62AD8EA0"/>
    <w:rsid w:val="6307A6A8"/>
    <w:rsid w:val="633A77E6"/>
    <w:rsid w:val="6366B612"/>
    <w:rsid w:val="63A553FA"/>
    <w:rsid w:val="63BD6D17"/>
    <w:rsid w:val="63F219B6"/>
    <w:rsid w:val="63FB6DCE"/>
    <w:rsid w:val="6434F98F"/>
    <w:rsid w:val="644F4D17"/>
    <w:rsid w:val="6463BF29"/>
    <w:rsid w:val="648F70C3"/>
    <w:rsid w:val="64A3E090"/>
    <w:rsid w:val="64A6D4D0"/>
    <w:rsid w:val="64AC3F3A"/>
    <w:rsid w:val="64B12349"/>
    <w:rsid w:val="64D367E1"/>
    <w:rsid w:val="64DC3D15"/>
    <w:rsid w:val="64E1ABB8"/>
    <w:rsid w:val="64F4CA66"/>
    <w:rsid w:val="64F9A5D6"/>
    <w:rsid w:val="6501AFEB"/>
    <w:rsid w:val="650A672A"/>
    <w:rsid w:val="65297B01"/>
    <w:rsid w:val="654C3E8B"/>
    <w:rsid w:val="6554844C"/>
    <w:rsid w:val="655923B1"/>
    <w:rsid w:val="6588C494"/>
    <w:rsid w:val="65A6D19D"/>
    <w:rsid w:val="65A8F562"/>
    <w:rsid w:val="65DB72E5"/>
    <w:rsid w:val="6601CD78"/>
    <w:rsid w:val="661D99C2"/>
    <w:rsid w:val="662C8D3E"/>
    <w:rsid w:val="66488311"/>
    <w:rsid w:val="667719EE"/>
    <w:rsid w:val="6678D9B1"/>
    <w:rsid w:val="668C19F5"/>
    <w:rsid w:val="66BFF3B0"/>
    <w:rsid w:val="66CB5721"/>
    <w:rsid w:val="66D14290"/>
    <w:rsid w:val="674DEDF4"/>
    <w:rsid w:val="675C4A32"/>
    <w:rsid w:val="67602E01"/>
    <w:rsid w:val="6776D54E"/>
    <w:rsid w:val="679D1371"/>
    <w:rsid w:val="67A37155"/>
    <w:rsid w:val="67A89299"/>
    <w:rsid w:val="67D63618"/>
    <w:rsid w:val="67DC3B10"/>
    <w:rsid w:val="67FEA81C"/>
    <w:rsid w:val="680FF4B9"/>
    <w:rsid w:val="68714911"/>
    <w:rsid w:val="6872F99D"/>
    <w:rsid w:val="688385F7"/>
    <w:rsid w:val="68D1EEE6"/>
    <w:rsid w:val="68D2223D"/>
    <w:rsid w:val="68E56796"/>
    <w:rsid w:val="690F462E"/>
    <w:rsid w:val="69118E5D"/>
    <w:rsid w:val="69337CF8"/>
    <w:rsid w:val="6957427C"/>
    <w:rsid w:val="695EEE7E"/>
    <w:rsid w:val="698CDA62"/>
    <w:rsid w:val="69ADD81E"/>
    <w:rsid w:val="69C2EB78"/>
    <w:rsid w:val="69E27754"/>
    <w:rsid w:val="69F0C143"/>
    <w:rsid w:val="69F8BE4A"/>
    <w:rsid w:val="6A01EDA0"/>
    <w:rsid w:val="6A0AE2F6"/>
    <w:rsid w:val="6A7D4887"/>
    <w:rsid w:val="6A81ECED"/>
    <w:rsid w:val="6ACDC775"/>
    <w:rsid w:val="6ADD6387"/>
    <w:rsid w:val="6AEDEB77"/>
    <w:rsid w:val="6AF14413"/>
    <w:rsid w:val="6B15316A"/>
    <w:rsid w:val="6B2AE480"/>
    <w:rsid w:val="6B829595"/>
    <w:rsid w:val="6B8CACAC"/>
    <w:rsid w:val="6B99697C"/>
    <w:rsid w:val="6BA0F762"/>
    <w:rsid w:val="6BC9C691"/>
    <w:rsid w:val="6BDE9FAC"/>
    <w:rsid w:val="6C0A344D"/>
    <w:rsid w:val="6C29D718"/>
    <w:rsid w:val="6C2A9929"/>
    <w:rsid w:val="6C2C1E08"/>
    <w:rsid w:val="6C3EC2CD"/>
    <w:rsid w:val="6C4A886D"/>
    <w:rsid w:val="6C8E3517"/>
    <w:rsid w:val="6CB01027"/>
    <w:rsid w:val="6CE33C8D"/>
    <w:rsid w:val="6D3872E8"/>
    <w:rsid w:val="6D58414E"/>
    <w:rsid w:val="6D644EB4"/>
    <w:rsid w:val="6D8EC311"/>
    <w:rsid w:val="6D9702B4"/>
    <w:rsid w:val="6D97BF0F"/>
    <w:rsid w:val="6DA162CE"/>
    <w:rsid w:val="6DB16706"/>
    <w:rsid w:val="6DF76BAC"/>
    <w:rsid w:val="6E01F95A"/>
    <w:rsid w:val="6E171F4F"/>
    <w:rsid w:val="6E1A5BD3"/>
    <w:rsid w:val="6E4816B6"/>
    <w:rsid w:val="6E634496"/>
    <w:rsid w:val="6EADAED7"/>
    <w:rsid w:val="6EEB14D1"/>
    <w:rsid w:val="6F08B920"/>
    <w:rsid w:val="6F0F2DDB"/>
    <w:rsid w:val="6F27A16D"/>
    <w:rsid w:val="6F2A4313"/>
    <w:rsid w:val="6F3E0C6F"/>
    <w:rsid w:val="6F75652E"/>
    <w:rsid w:val="6F8232D5"/>
    <w:rsid w:val="6F9F2E45"/>
    <w:rsid w:val="6FC50313"/>
    <w:rsid w:val="6FCBCD2B"/>
    <w:rsid w:val="6FCBF727"/>
    <w:rsid w:val="6FD9B133"/>
    <w:rsid w:val="70073B51"/>
    <w:rsid w:val="70335188"/>
    <w:rsid w:val="705FC153"/>
    <w:rsid w:val="70816052"/>
    <w:rsid w:val="709C4089"/>
    <w:rsid w:val="709E4EAB"/>
    <w:rsid w:val="70AD41BE"/>
    <w:rsid w:val="70AE4188"/>
    <w:rsid w:val="70BAA15D"/>
    <w:rsid w:val="70CB61ED"/>
    <w:rsid w:val="70D02ED3"/>
    <w:rsid w:val="70D8F520"/>
    <w:rsid w:val="70D9803B"/>
    <w:rsid w:val="70EA6999"/>
    <w:rsid w:val="7107ECED"/>
    <w:rsid w:val="713183BE"/>
    <w:rsid w:val="713BCE77"/>
    <w:rsid w:val="71557029"/>
    <w:rsid w:val="71694954"/>
    <w:rsid w:val="716D9141"/>
    <w:rsid w:val="717616AB"/>
    <w:rsid w:val="71C47EAA"/>
    <w:rsid w:val="71D70AD5"/>
    <w:rsid w:val="71ED84FD"/>
    <w:rsid w:val="71FE4765"/>
    <w:rsid w:val="720425F8"/>
    <w:rsid w:val="72564E2B"/>
    <w:rsid w:val="7282E7C9"/>
    <w:rsid w:val="728A3D78"/>
    <w:rsid w:val="72902FB3"/>
    <w:rsid w:val="72A659A3"/>
    <w:rsid w:val="72A745EE"/>
    <w:rsid w:val="732C85D6"/>
    <w:rsid w:val="734686DB"/>
    <w:rsid w:val="7351F3D7"/>
    <w:rsid w:val="735290FC"/>
    <w:rsid w:val="73684DBA"/>
    <w:rsid w:val="7377D85E"/>
    <w:rsid w:val="737DA554"/>
    <w:rsid w:val="73A9D676"/>
    <w:rsid w:val="73FB2CB9"/>
    <w:rsid w:val="740413BD"/>
    <w:rsid w:val="74217D10"/>
    <w:rsid w:val="7437BBF3"/>
    <w:rsid w:val="74490B9B"/>
    <w:rsid w:val="747C8C00"/>
    <w:rsid w:val="748AD8D2"/>
    <w:rsid w:val="7495A95F"/>
    <w:rsid w:val="74B0E970"/>
    <w:rsid w:val="74B63806"/>
    <w:rsid w:val="74C6D040"/>
    <w:rsid w:val="74D73ECC"/>
    <w:rsid w:val="74FD13FF"/>
    <w:rsid w:val="74FF17B6"/>
    <w:rsid w:val="752E423F"/>
    <w:rsid w:val="75935A5C"/>
    <w:rsid w:val="75B71F14"/>
    <w:rsid w:val="75B82635"/>
    <w:rsid w:val="75CDB3A5"/>
    <w:rsid w:val="75E4896A"/>
    <w:rsid w:val="763F3B04"/>
    <w:rsid w:val="765697BA"/>
    <w:rsid w:val="766D0964"/>
    <w:rsid w:val="767B86F4"/>
    <w:rsid w:val="7682E073"/>
    <w:rsid w:val="76AABDB5"/>
    <w:rsid w:val="76EA1104"/>
    <w:rsid w:val="76F18745"/>
    <w:rsid w:val="76F43E8E"/>
    <w:rsid w:val="77146B98"/>
    <w:rsid w:val="776C4F32"/>
    <w:rsid w:val="776F25EF"/>
    <w:rsid w:val="778E2A9D"/>
    <w:rsid w:val="779F06AD"/>
    <w:rsid w:val="77B894C8"/>
    <w:rsid w:val="77E7B752"/>
    <w:rsid w:val="77F475F4"/>
    <w:rsid w:val="77FF02E1"/>
    <w:rsid w:val="7823FAD5"/>
    <w:rsid w:val="78617552"/>
    <w:rsid w:val="786A9A5E"/>
    <w:rsid w:val="786B8F9D"/>
    <w:rsid w:val="787181AB"/>
    <w:rsid w:val="78760C0B"/>
    <w:rsid w:val="78CE8C32"/>
    <w:rsid w:val="78E0F032"/>
    <w:rsid w:val="7900E4EB"/>
    <w:rsid w:val="79422A13"/>
    <w:rsid w:val="794F1C23"/>
    <w:rsid w:val="7954B40F"/>
    <w:rsid w:val="7958CC8B"/>
    <w:rsid w:val="7974656A"/>
    <w:rsid w:val="7978F555"/>
    <w:rsid w:val="7996D662"/>
    <w:rsid w:val="79B4E600"/>
    <w:rsid w:val="79BC2A21"/>
    <w:rsid w:val="79D4BBEC"/>
    <w:rsid w:val="79E96BAE"/>
    <w:rsid w:val="7A078CFC"/>
    <w:rsid w:val="7A097826"/>
    <w:rsid w:val="7A4EEFCA"/>
    <w:rsid w:val="7A50A8D7"/>
    <w:rsid w:val="7A57E1A2"/>
    <w:rsid w:val="7A7D7C2B"/>
    <w:rsid w:val="7A89A32D"/>
    <w:rsid w:val="7ACD46D6"/>
    <w:rsid w:val="7B371DCB"/>
    <w:rsid w:val="7B503631"/>
    <w:rsid w:val="7B847A48"/>
    <w:rsid w:val="7B861BB5"/>
    <w:rsid w:val="7B8D418E"/>
    <w:rsid w:val="7B97C5CA"/>
    <w:rsid w:val="7B99BC9C"/>
    <w:rsid w:val="7BACA947"/>
    <w:rsid w:val="7BB5D976"/>
    <w:rsid w:val="7BB86BA6"/>
    <w:rsid w:val="7BD11020"/>
    <w:rsid w:val="7C096E27"/>
    <w:rsid w:val="7C180401"/>
    <w:rsid w:val="7C329371"/>
    <w:rsid w:val="7CB1597C"/>
    <w:rsid w:val="7CBBFDF9"/>
    <w:rsid w:val="7CC03F02"/>
    <w:rsid w:val="7CC6C862"/>
    <w:rsid w:val="7CCD1E04"/>
    <w:rsid w:val="7D360969"/>
    <w:rsid w:val="7D3B7919"/>
    <w:rsid w:val="7D3EF014"/>
    <w:rsid w:val="7D5037BD"/>
    <w:rsid w:val="7D515D01"/>
    <w:rsid w:val="7D66A536"/>
    <w:rsid w:val="7D6B0A89"/>
    <w:rsid w:val="7D701E8E"/>
    <w:rsid w:val="7D794B09"/>
    <w:rsid w:val="7D9989FC"/>
    <w:rsid w:val="7D9991FA"/>
    <w:rsid w:val="7DB2B788"/>
    <w:rsid w:val="7DC0030B"/>
    <w:rsid w:val="7DCF333D"/>
    <w:rsid w:val="7DD6AB38"/>
    <w:rsid w:val="7DD79815"/>
    <w:rsid w:val="7DD7E206"/>
    <w:rsid w:val="7DF38163"/>
    <w:rsid w:val="7DF7492C"/>
    <w:rsid w:val="7DFB3EC9"/>
    <w:rsid w:val="7E212F6D"/>
    <w:rsid w:val="7E279328"/>
    <w:rsid w:val="7E2DA301"/>
    <w:rsid w:val="7E64E3EE"/>
    <w:rsid w:val="7E68FAA5"/>
    <w:rsid w:val="7E7BF3EE"/>
    <w:rsid w:val="7E7CCB76"/>
    <w:rsid w:val="7EB62BDD"/>
    <w:rsid w:val="7ED37D37"/>
    <w:rsid w:val="7EDC31CC"/>
    <w:rsid w:val="7EE91E22"/>
    <w:rsid w:val="7EED37B1"/>
    <w:rsid w:val="7EEF5A58"/>
    <w:rsid w:val="7EF563BD"/>
    <w:rsid w:val="7EF8AC72"/>
    <w:rsid w:val="7EFC1FC8"/>
    <w:rsid w:val="7F14113F"/>
    <w:rsid w:val="7F1DD775"/>
    <w:rsid w:val="7F3556F8"/>
    <w:rsid w:val="7F5DFD5C"/>
    <w:rsid w:val="7F925A16"/>
    <w:rsid w:val="7FA1B8A5"/>
    <w:rsid w:val="7FCAFDEF"/>
    <w:rsid w:val="7FDB58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B624B"/>
  <w15:chartTrackingRefBased/>
  <w15:docId w15:val="{8B74D60A-C95D-480A-8B4B-9C236A933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3D1EE2B6"/>
    <w:rPr>
      <w:lang w:val="en-AU"/>
    </w:rPr>
  </w:style>
  <w:style w:type="paragraph" w:styleId="Heading1">
    <w:name w:val="heading 1"/>
    <w:basedOn w:val="Normal"/>
    <w:next w:val="Normal"/>
    <w:link w:val="Heading1Char"/>
    <w:uiPriority w:val="9"/>
    <w:qFormat/>
    <w:rsid w:val="3D1EE2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3D1EE2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3D1EE2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3D1EE2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3D1EE2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3D1EE2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3D1EE2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3D1EE2B6"/>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semiHidden/>
    <w:unhideWhenUsed/>
    <w:qFormat/>
    <w:rsid w:val="3D1EE2B6"/>
    <w:pPr>
      <w:keepNext/>
      <w:keepLines/>
      <w:spacing w:after="0"/>
      <w:outlineLvl w:val="8"/>
    </w:pPr>
    <w:rPr>
      <w:rFonts w:eastAsiaTheme="majorEastAsia" w:cstheme="majorBid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77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C77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77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77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77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77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77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77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7789"/>
    <w:rPr>
      <w:rFonts w:eastAsiaTheme="majorEastAsia" w:cstheme="majorBidi"/>
      <w:color w:val="272727" w:themeColor="text1" w:themeTint="D8"/>
    </w:rPr>
  </w:style>
  <w:style w:type="paragraph" w:styleId="Title">
    <w:name w:val="Title"/>
    <w:basedOn w:val="Normal"/>
    <w:next w:val="Normal"/>
    <w:link w:val="TitleChar"/>
    <w:uiPriority w:val="10"/>
    <w:qFormat/>
    <w:rsid w:val="3D1EE2B6"/>
    <w:pPr>
      <w:spacing w:after="80" w:line="240" w:lineRule="auto"/>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5C77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3D1EE2B6"/>
    <w:rPr>
      <w:rFonts w:eastAsiaTheme="majorEastAsia" w:cstheme="majorBidi"/>
      <w:color w:val="595959" w:themeColor="text1" w:themeTint="A6"/>
      <w:sz w:val="28"/>
      <w:szCs w:val="28"/>
    </w:rPr>
  </w:style>
  <w:style w:type="character" w:customStyle="1" w:styleId="SubtitleChar">
    <w:name w:val="Subtitle Char"/>
    <w:basedOn w:val="DefaultParagraphFont"/>
    <w:link w:val="Subtitle"/>
    <w:uiPriority w:val="11"/>
    <w:rsid w:val="005C77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3D1EE2B6"/>
    <w:pPr>
      <w:spacing w:before="160"/>
      <w:jc w:val="center"/>
    </w:pPr>
    <w:rPr>
      <w:i/>
      <w:iCs/>
      <w:color w:val="404040" w:themeColor="text1" w:themeTint="BF"/>
    </w:rPr>
  </w:style>
  <w:style w:type="character" w:customStyle="1" w:styleId="QuoteChar">
    <w:name w:val="Quote Char"/>
    <w:basedOn w:val="DefaultParagraphFont"/>
    <w:link w:val="Quote"/>
    <w:uiPriority w:val="29"/>
    <w:rsid w:val="005C7789"/>
    <w:rPr>
      <w:i/>
      <w:iCs/>
      <w:color w:val="404040" w:themeColor="text1" w:themeTint="BF"/>
    </w:rPr>
  </w:style>
  <w:style w:type="paragraph" w:styleId="ListParagraph">
    <w:name w:val="List Paragraph"/>
    <w:basedOn w:val="Normal"/>
    <w:uiPriority w:val="34"/>
    <w:qFormat/>
    <w:rsid w:val="3D1EE2B6"/>
    <w:pPr>
      <w:ind w:left="720"/>
      <w:contextualSpacing/>
    </w:pPr>
  </w:style>
  <w:style w:type="character" w:styleId="IntenseEmphasis">
    <w:name w:val="Intense Emphasis"/>
    <w:basedOn w:val="DefaultParagraphFont"/>
    <w:uiPriority w:val="21"/>
    <w:qFormat/>
    <w:rsid w:val="005C7789"/>
    <w:rPr>
      <w:i/>
      <w:iCs/>
      <w:color w:val="0F4761" w:themeColor="accent1" w:themeShade="BF"/>
    </w:rPr>
  </w:style>
  <w:style w:type="paragraph" w:styleId="IntenseQuote">
    <w:name w:val="Intense Quote"/>
    <w:basedOn w:val="Normal"/>
    <w:next w:val="Normal"/>
    <w:link w:val="IntenseQuoteChar"/>
    <w:uiPriority w:val="30"/>
    <w:qFormat/>
    <w:rsid w:val="3D1EE2B6"/>
    <w:pP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7789"/>
    <w:rPr>
      <w:i/>
      <w:iCs/>
      <w:color w:val="0F4761" w:themeColor="accent1" w:themeShade="BF"/>
    </w:rPr>
  </w:style>
  <w:style w:type="character" w:styleId="IntenseReference">
    <w:name w:val="Intense Reference"/>
    <w:basedOn w:val="DefaultParagraphFont"/>
    <w:uiPriority w:val="32"/>
    <w:qFormat/>
    <w:rsid w:val="005C7789"/>
    <w:rPr>
      <w:b/>
      <w:bCs/>
      <w:smallCaps/>
      <w:color w:val="0F4761" w:themeColor="accent1" w:themeShade="BF"/>
      <w:spacing w:val="5"/>
    </w:rPr>
  </w:style>
  <w:style w:type="table" w:styleId="TableGrid">
    <w:name w:val="Table Grid"/>
    <w:basedOn w:val="TableNormal"/>
    <w:uiPriority w:val="39"/>
    <w:rsid w:val="00A658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3876"/>
    <w:rPr>
      <w:color w:val="0000FF"/>
      <w:u w:val="single"/>
    </w:rPr>
  </w:style>
  <w:style w:type="character" w:styleId="UnresolvedMention">
    <w:name w:val="Unresolved Mention"/>
    <w:basedOn w:val="DefaultParagraphFont"/>
    <w:uiPriority w:val="99"/>
    <w:semiHidden/>
    <w:unhideWhenUsed/>
    <w:rsid w:val="005542D3"/>
    <w:rPr>
      <w:color w:val="605E5C"/>
      <w:shd w:val="clear" w:color="auto" w:fill="E1DFDD"/>
    </w:rPr>
  </w:style>
  <w:style w:type="paragraph" w:styleId="CommentText">
    <w:name w:val="annotation text"/>
    <w:basedOn w:val="Normal"/>
    <w:link w:val="CommentTextChar"/>
    <w:uiPriority w:val="99"/>
    <w:unhideWhenUsed/>
    <w:rsid w:val="3D1EE2B6"/>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D2093"/>
    <w:pPr>
      <w:spacing w:after="0" w:line="240" w:lineRule="auto"/>
    </w:pPr>
  </w:style>
  <w:style w:type="character" w:styleId="FollowedHyperlink">
    <w:name w:val="FollowedHyperlink"/>
    <w:basedOn w:val="DefaultParagraphFont"/>
    <w:uiPriority w:val="99"/>
    <w:semiHidden/>
    <w:unhideWhenUsed/>
    <w:rsid w:val="000517F7"/>
    <w:rPr>
      <w:color w:val="96607D" w:themeColor="followedHyperlink"/>
      <w:u w:val="single"/>
    </w:rPr>
  </w:style>
  <w:style w:type="paragraph" w:styleId="CommentSubject">
    <w:name w:val="annotation subject"/>
    <w:basedOn w:val="CommentText"/>
    <w:next w:val="CommentText"/>
    <w:link w:val="CommentSubjectChar"/>
    <w:uiPriority w:val="99"/>
    <w:semiHidden/>
    <w:unhideWhenUsed/>
    <w:rsid w:val="00721E2B"/>
    <w:rPr>
      <w:b/>
      <w:bCs/>
    </w:rPr>
  </w:style>
  <w:style w:type="character" w:customStyle="1" w:styleId="CommentSubjectChar">
    <w:name w:val="Comment Subject Char"/>
    <w:basedOn w:val="CommentTextChar"/>
    <w:link w:val="CommentSubject"/>
    <w:uiPriority w:val="99"/>
    <w:semiHidden/>
    <w:rsid w:val="00721E2B"/>
    <w:rPr>
      <w:b/>
      <w:bCs/>
      <w:sz w:val="20"/>
      <w:szCs w:val="20"/>
    </w:rPr>
  </w:style>
  <w:style w:type="paragraph" w:styleId="TOC1">
    <w:name w:val="toc 1"/>
    <w:basedOn w:val="Normal"/>
    <w:next w:val="Normal"/>
    <w:uiPriority w:val="39"/>
    <w:unhideWhenUsed/>
    <w:rsid w:val="3D1EE2B6"/>
    <w:pPr>
      <w:spacing w:after="100"/>
    </w:pPr>
  </w:style>
  <w:style w:type="paragraph" w:styleId="TOC2">
    <w:name w:val="toc 2"/>
    <w:basedOn w:val="Normal"/>
    <w:next w:val="Normal"/>
    <w:uiPriority w:val="39"/>
    <w:unhideWhenUsed/>
    <w:rsid w:val="3D1EE2B6"/>
    <w:pPr>
      <w:spacing w:after="100"/>
      <w:ind w:left="220"/>
    </w:pPr>
  </w:style>
  <w:style w:type="paragraph" w:styleId="TOC3">
    <w:name w:val="toc 3"/>
    <w:basedOn w:val="Normal"/>
    <w:next w:val="Normal"/>
    <w:uiPriority w:val="39"/>
    <w:unhideWhenUsed/>
    <w:rsid w:val="3D1EE2B6"/>
    <w:pPr>
      <w:spacing w:after="100"/>
      <w:ind w:left="440"/>
    </w:pPr>
  </w:style>
  <w:style w:type="paragraph" w:styleId="TOC4">
    <w:name w:val="toc 4"/>
    <w:basedOn w:val="Normal"/>
    <w:next w:val="Normal"/>
    <w:uiPriority w:val="39"/>
    <w:unhideWhenUsed/>
    <w:rsid w:val="3D1EE2B6"/>
    <w:pPr>
      <w:spacing w:after="100"/>
      <w:ind w:left="660"/>
    </w:pPr>
  </w:style>
  <w:style w:type="paragraph" w:styleId="TOC5">
    <w:name w:val="toc 5"/>
    <w:basedOn w:val="Normal"/>
    <w:next w:val="Normal"/>
    <w:uiPriority w:val="39"/>
    <w:unhideWhenUsed/>
    <w:rsid w:val="3D1EE2B6"/>
    <w:pPr>
      <w:spacing w:after="100"/>
      <w:ind w:left="880"/>
    </w:pPr>
  </w:style>
  <w:style w:type="paragraph" w:styleId="TOC6">
    <w:name w:val="toc 6"/>
    <w:basedOn w:val="Normal"/>
    <w:next w:val="Normal"/>
    <w:uiPriority w:val="39"/>
    <w:unhideWhenUsed/>
    <w:rsid w:val="3D1EE2B6"/>
    <w:pPr>
      <w:spacing w:after="100"/>
      <w:ind w:left="1100"/>
    </w:pPr>
  </w:style>
  <w:style w:type="paragraph" w:styleId="TOC7">
    <w:name w:val="toc 7"/>
    <w:basedOn w:val="Normal"/>
    <w:next w:val="Normal"/>
    <w:uiPriority w:val="39"/>
    <w:unhideWhenUsed/>
    <w:rsid w:val="3D1EE2B6"/>
    <w:pPr>
      <w:spacing w:after="100"/>
      <w:ind w:left="1320"/>
    </w:pPr>
  </w:style>
  <w:style w:type="paragraph" w:styleId="TOC8">
    <w:name w:val="toc 8"/>
    <w:basedOn w:val="Normal"/>
    <w:next w:val="Normal"/>
    <w:uiPriority w:val="39"/>
    <w:unhideWhenUsed/>
    <w:rsid w:val="3D1EE2B6"/>
    <w:pPr>
      <w:spacing w:after="100"/>
      <w:ind w:left="1540"/>
    </w:pPr>
  </w:style>
  <w:style w:type="paragraph" w:styleId="TOC9">
    <w:name w:val="toc 9"/>
    <w:basedOn w:val="Normal"/>
    <w:next w:val="Normal"/>
    <w:uiPriority w:val="39"/>
    <w:unhideWhenUsed/>
    <w:rsid w:val="3D1EE2B6"/>
    <w:pPr>
      <w:spacing w:after="100"/>
      <w:ind w:left="1760"/>
    </w:pPr>
  </w:style>
  <w:style w:type="paragraph" w:styleId="EndnoteText">
    <w:name w:val="endnote text"/>
    <w:basedOn w:val="Normal"/>
    <w:uiPriority w:val="99"/>
    <w:semiHidden/>
    <w:unhideWhenUsed/>
    <w:rsid w:val="3D1EE2B6"/>
    <w:pPr>
      <w:spacing w:after="0" w:line="240" w:lineRule="auto"/>
    </w:pPr>
    <w:rPr>
      <w:sz w:val="20"/>
      <w:szCs w:val="20"/>
    </w:rPr>
  </w:style>
  <w:style w:type="paragraph" w:styleId="Footer">
    <w:name w:val="footer"/>
    <w:basedOn w:val="Normal"/>
    <w:uiPriority w:val="99"/>
    <w:unhideWhenUsed/>
    <w:rsid w:val="3D1EE2B6"/>
    <w:pPr>
      <w:tabs>
        <w:tab w:val="center" w:pos="4680"/>
        <w:tab w:val="right" w:pos="9360"/>
      </w:tabs>
      <w:spacing w:after="0" w:line="240" w:lineRule="auto"/>
    </w:pPr>
  </w:style>
  <w:style w:type="paragraph" w:styleId="FootnoteText">
    <w:name w:val="footnote text"/>
    <w:basedOn w:val="Normal"/>
    <w:uiPriority w:val="99"/>
    <w:semiHidden/>
    <w:unhideWhenUsed/>
    <w:rsid w:val="3D1EE2B6"/>
    <w:pPr>
      <w:spacing w:after="0" w:line="240" w:lineRule="auto"/>
    </w:pPr>
    <w:rPr>
      <w:sz w:val="20"/>
      <w:szCs w:val="20"/>
    </w:rPr>
  </w:style>
  <w:style w:type="paragraph" w:styleId="Header">
    <w:name w:val="header"/>
    <w:basedOn w:val="Normal"/>
    <w:uiPriority w:val="99"/>
    <w:unhideWhenUsed/>
    <w:rsid w:val="3D1EE2B6"/>
    <w:pPr>
      <w:tabs>
        <w:tab w:val="center" w:pos="4680"/>
        <w:tab w:val="right" w:pos="9360"/>
      </w:tabs>
      <w:spacing w:after="0" w:line="240" w:lineRule="auto"/>
    </w:p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f.org/en/Data/Statistics/BPM/BPM7-chapters" TargetMode="External"/><Relationship Id="rId13" Type="http://schemas.openxmlformats.org/officeDocument/2006/relationships/hyperlink" Target="https://unece.org/fileadmin/DAM/stats/publications/2018/ECECESSTAT20173.pdf" TargetMode="External"/><Relationship Id="rId3" Type="http://schemas.openxmlformats.org/officeDocument/2006/relationships/styles" Target="styles.xml"/><Relationship Id="rId7" Type="http://schemas.openxmlformats.org/officeDocument/2006/relationships/hyperlink" Target="https://unstats.un.org/unsd/nationalaccount/SNAUpdate/2025/chapters.asp" TargetMode="External"/><Relationship Id="rId12" Type="http://schemas.openxmlformats.org/officeDocument/2006/relationships/hyperlink" Target="https://unece.org/DAM/stats/publications/2016/ECECESSTAT20166_E.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oecd.org/en/publications/a-system-of-health-accounts-2011_9789264270985-en.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nece.org/DAM/stats/publications/2020/ECECESSTAT20201.pdf" TargetMode="External"/><Relationship Id="rId4" Type="http://schemas.openxmlformats.org/officeDocument/2006/relationships/settings" Target="settings.xml"/><Relationship Id="rId9" Type="http://schemas.openxmlformats.org/officeDocument/2006/relationships/hyperlink" Target="https://www.abs.gov.au/articles/digital-activity-australian-economy-2021-22" TargetMode="External"/><Relationship Id="rId14" Type="http://schemas.openxmlformats.org/officeDocument/2006/relationships/hyperlink" Target="file:///\\corp\peopledfs\laytom\Downloads\c2-goods-services-and-investment-income-accounts-by-enterprise-characteristics%2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DF4EB-74C5-4ED0-8FAF-A3DA0DB88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3420</Words>
  <Characters>19498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Lay</dc:creator>
  <cp:keywords/>
  <dc:description/>
  <cp:lastModifiedBy>Trent Lind</cp:lastModifiedBy>
  <cp:revision>3</cp:revision>
  <dcterms:created xsi:type="dcterms:W3CDTF">2024-12-06T02:49:00Z</dcterms:created>
  <dcterms:modified xsi:type="dcterms:W3CDTF">2024-12-06T02:50:00Z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e5a7ee-c283-40b0-98eb-fa437df4c031_Enabled">
    <vt:lpwstr>true</vt:lpwstr>
  </property>
  <property fmtid="{D5CDD505-2E9C-101B-9397-08002B2CF9AE}" pid="3" name="MSIP_Label_c8e5a7ee-c283-40b0-98eb-fa437df4c031_SetDate">
    <vt:lpwstr>2024-07-16T00:19:55Z</vt:lpwstr>
  </property>
  <property fmtid="{D5CDD505-2E9C-101B-9397-08002B2CF9AE}" pid="4" name="MSIP_Label_c8e5a7ee-c283-40b0-98eb-fa437df4c031_Method">
    <vt:lpwstr>Privileged</vt:lpwstr>
  </property>
  <property fmtid="{D5CDD505-2E9C-101B-9397-08002B2CF9AE}" pid="5" name="MSIP_Label_c8e5a7ee-c283-40b0-98eb-fa437df4c031_Name">
    <vt:lpwstr>OFFICIAL</vt:lpwstr>
  </property>
  <property fmtid="{D5CDD505-2E9C-101B-9397-08002B2CF9AE}" pid="6" name="MSIP_Label_c8e5a7ee-c283-40b0-98eb-fa437df4c031_SiteId">
    <vt:lpwstr>34cdb737-c4fa-4c21-9a34-88ac2d721f88</vt:lpwstr>
  </property>
  <property fmtid="{D5CDD505-2E9C-101B-9397-08002B2CF9AE}" pid="7" name="MSIP_Label_c8e5a7ee-c283-40b0-98eb-fa437df4c031_ActionId">
    <vt:lpwstr>83b33778-ad39-4bcb-bfa0-4a6c83c6e529</vt:lpwstr>
  </property>
  <property fmtid="{D5CDD505-2E9C-101B-9397-08002B2CF9AE}" pid="8" name="MSIP_Label_c8e5a7ee-c283-40b0-98eb-fa437df4c031_ContentBits">
    <vt:lpwstr>0</vt:lpwstr>
  </property>
</Properties>
</file>